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兴业银行天天万利宝稳利6号K款净值型理财产品</w:t>
            </w:r>
            <w:r>
              <w:rPr>
                <w:rFonts w:ascii="宋体" w:hAnsi="宋体" w:eastAsia="宋体" w:cs="宋体"/>
                <w:b/>
                <w:color w:val="000000"/>
                <w:sz w:val="32"/>
              </w:rPr>
              <w:br w:type="textWrapping"/>
            </w:r>
            <w:r>
              <w:rPr>
                <w:rFonts w:ascii="宋体" w:hAnsi="宋体" w:eastAsia="宋体" w:cs="宋体"/>
                <w:b/>
                <w:color w:val="000000"/>
                <w:sz w:val="32"/>
              </w:rPr>
              <w:t>2022年第四季度报告</w:t>
            </w:r>
          </w:p>
        </w:tc>
        <w:tc>
          <w:p>
            <w:pPr>
              <w:pStyle w:val="4"/>
            </w:pPr>
          </w:p>
        </w:tc>
      </w:tr>
      <w:tr>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报告送出日期：2023年1月28日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3"/>
          </w:tcPr>
          <w:p>
            <w:pPr>
              <w:pStyle w:val="4"/>
            </w:pPr>
          </w:p>
        </w:tc>
        <w:tc>
          <w:p>
            <w:pPr>
              <w:pStyle w:val="4"/>
            </w:pPr>
          </w:p>
        </w:tc>
      </w:tr>
      <w:tr>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p>
            <w:pPr>
              <w:pStyle w:val="4"/>
            </w:pPr>
          </w:p>
        </w:tc>
        <w:tc>
          <w:p>
            <w:pPr>
              <w:pStyle w:val="4"/>
            </w:pPr>
          </w:p>
        </w:tc>
      </w:tr>
      <w:tr>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兴业银行天天万利宝稳利6号K款净值型理财产品2022年第四季度报告</w:t>
            </w:r>
          </w:p>
        </w:tc>
        <w:tc>
          <w:p>
            <w:pPr>
              <w:pStyle w:val="4"/>
            </w:pPr>
          </w:p>
        </w:tc>
      </w:tr>
      <w:tr>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兴业银行天天万利宝稳利6号K款净值型理财产品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9K209150</w:t>
            </w:r>
          </w:p>
        </w:tc>
        <w:tc>
          <w:p>
            <w:pPr>
              <w:pStyle w:val="4"/>
            </w:pPr>
          </w:p>
        </w:tc>
      </w:tr>
      <w:tr>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Z7002021000103</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p>
            <w:pPr>
              <w:pStyle w:val="4"/>
            </w:pPr>
          </w:p>
        </w:tc>
      </w:tr>
      <w:tr>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3,125,913,379.92份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w:t>
            </w:r>
          </w:p>
        </w:tc>
        <w:tc>
          <w:p>
            <w:pPr>
              <w:pStyle w:val="4"/>
            </w:pPr>
          </w:p>
        </w:tc>
      </w:tr>
      <w:tr>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rPr>
          <w:gridAfter w:val="4"/>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稳利季季增利C款</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9K20915A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3,020,744,723.92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稳利季季增利C款B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9K20915B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30,501,486.24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稳利季季增利C款C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9K20915C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7,506,351.81</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稳利季季增利C款D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9K20915D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67,160,817.95</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产品9K20915A自成立日以来，累计净值增长率为5.6390%，年化累计净值增长率为3.3576%。</w:t>
            </w:r>
            <w:r>
              <w:rPr>
                <w:rFonts w:ascii="宋体" w:hAnsi="宋体" w:eastAsia="宋体" w:cs="宋体"/>
                <w:color w:val="000000"/>
                <w:sz w:val="21"/>
              </w:rPr>
              <w:br w:type="textWrapping"/>
            </w:r>
            <w:r>
              <w:rPr>
                <w:rFonts w:ascii="宋体" w:hAnsi="宋体" w:eastAsia="宋体" w:cs="宋体"/>
                <w:color w:val="000000"/>
                <w:sz w:val="21"/>
              </w:rPr>
              <w:t>产品9K20915B自成立日以来，累计净值增长率为1.4490%，年化累计净值增长率为2.1240%。</w:t>
            </w:r>
            <w:r>
              <w:rPr>
                <w:rFonts w:ascii="宋体" w:hAnsi="宋体" w:eastAsia="宋体" w:cs="宋体"/>
                <w:color w:val="000000"/>
                <w:sz w:val="21"/>
              </w:rPr>
              <w:br w:type="textWrapping"/>
            </w:r>
            <w:r>
              <w:rPr>
                <w:rFonts w:ascii="宋体" w:hAnsi="宋体" w:eastAsia="宋体" w:cs="宋体"/>
                <w:color w:val="000000"/>
                <w:sz w:val="21"/>
              </w:rPr>
              <w:t>产品9K20915C自成立日以来，累计净值增长率为0.7090%，年化累计净值增长率为1.6483%。</w:t>
            </w:r>
            <w:r>
              <w:rPr>
                <w:rFonts w:ascii="宋体" w:hAnsi="宋体" w:eastAsia="宋体" w:cs="宋体"/>
                <w:color w:val="000000"/>
                <w:sz w:val="21"/>
              </w:rPr>
              <w:br w:type="textWrapping"/>
            </w:r>
            <w:r>
              <w:rPr>
                <w:rFonts w:ascii="宋体" w:hAnsi="宋体" w:eastAsia="宋体" w:cs="宋体"/>
                <w:color w:val="000000"/>
                <w:sz w:val="21"/>
              </w:rPr>
              <w:t>产品9K20915D自成立日以来，累计净值增长率为1.5859%，年化累计净值增长率为2.3341%。</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1.04519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1.05598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3,267,172,723.09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1.04560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1.05639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3,158,504,906.65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1.01449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1.01449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30,943,378.20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1.00709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1.00709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7,559,606.05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1.04473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1.04473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70,164,832.19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张宸先生，中山大学西方经济学硕士，中山大学经济学学士，8年资深投研经验，5年固收产品管理经验，曾任职于广发银行股份有限公司、广发证券股份有限公司。2019年加入兴银理财有限责任公司，任固定收益投资部高级投资经理。投资经验丰富，产品业绩稳健，擅长宏观基本面研究、利率债交易以及信用债套利挖掘。</w:t>
            </w:r>
          </w:p>
        </w:tc>
        <w:tc>
          <w:tcPr>
            <w:gridSpan w:val="4"/>
          </w:tcPr>
          <w:p>
            <w:pPr>
              <w:pStyle w:val="4"/>
            </w:pPr>
          </w:p>
        </w:tc>
        <w:tc>
          <w:p>
            <w:pPr>
              <w:pStyle w:val="4"/>
            </w:pPr>
          </w:p>
        </w:tc>
      </w:tr>
      <w:tr>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一、2022年四季度投资策略与运作回顾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w:t>
            </w:r>
          </w:p>
        </w:tc>
        <w:tc>
          <w:tcPr>
            <w:gridSpan w:val="4"/>
          </w:tcPr>
          <w:p>
            <w:pPr>
              <w:pStyle w:val="4"/>
            </w:pPr>
          </w:p>
        </w:tc>
        <w:tc>
          <w:p>
            <w:pPr>
              <w:pStyle w:val="4"/>
            </w:pPr>
          </w:p>
        </w:tc>
      </w:tr>
      <w:tr>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兴业银行天天万利宝稳利6号K款净值型理财产品2022年第四季度报告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rPr>
          <w:gridAfter w:val="2"/>
          <w:trHeight w:val="39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年末，相比9</w:t>
            </w:r>
            <w:bookmarkStart w:id="7" w:name="_GoBack"/>
            <w:bookmarkEnd w:id="7"/>
            <w:r>
              <w:rPr>
                <w:rFonts w:ascii="宋体" w:hAnsi="宋体" w:eastAsia="宋体" w:cs="宋体"/>
                <w:color w:val="000000"/>
                <w:sz w:val="21"/>
              </w:rPr>
              <w:t>月底，10年国债上行8bp，同业存单上行43bp，3年AAA中票上行50bp，3年AA+中票上行74bp。</w:t>
            </w:r>
            <w:r>
              <w:rPr>
                <w:rFonts w:ascii="宋体" w:hAnsi="宋体" w:eastAsia="宋体" w:cs="宋体"/>
                <w:color w:val="000000"/>
                <w:sz w:val="21"/>
              </w:rPr>
              <w:br w:type="textWrapping"/>
            </w:r>
            <w:r>
              <w:rPr>
                <w:rFonts w:ascii="宋体" w:hAnsi="宋体" w:eastAsia="宋体" w:cs="宋体"/>
                <w:color w:val="000000"/>
                <w:sz w:val="21"/>
              </w:rP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r>
            <w:r>
              <w:rPr>
                <w:rFonts w:ascii="宋体" w:hAnsi="宋体" w:eastAsia="宋体" w:cs="宋体"/>
                <w:color w:val="000000"/>
                <w:sz w:val="21"/>
              </w:rPr>
              <w:br w:type="textWrapping"/>
            </w:r>
            <w:r>
              <w:rPr>
                <w:rFonts w:ascii="宋体" w:hAnsi="宋体" w:eastAsia="宋体" w:cs="宋体"/>
                <w:color w:val="000000"/>
                <w:sz w:val="21"/>
              </w:rPr>
              <w:t>二、2023一季度投资策略展望</w:t>
            </w:r>
            <w:r>
              <w:rPr>
                <w:rFonts w:ascii="宋体" w:hAnsi="宋体" w:eastAsia="宋体" w:cs="宋体"/>
                <w:color w:val="000000"/>
                <w:sz w:val="21"/>
              </w:rPr>
              <w:br w:type="textWrapping"/>
            </w:r>
            <w:r>
              <w:rPr>
                <w:rFonts w:ascii="宋体" w:hAnsi="宋体" w:eastAsia="宋体" w:cs="宋体"/>
                <w:color w:val="000000"/>
                <w:sz w:val="21"/>
              </w:rP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rPr>
          <w:gridAfter w:val="2"/>
          <w:trHeight w:val="36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25.67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买入返售金融资产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67.87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70.13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为防范无法支付赎回款而产生的流动性风险，本理财产品管理人将合理安排所投资产期限，持续根据市场变化情况做好投资安排，尽可能降低产品流动性风险，有效保障理财持有人利益。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2"/>
          </w:tcPr>
          <w:p>
            <w:pPr>
              <w:pStyle w:val="4"/>
            </w:pPr>
          </w:p>
        </w:tc>
        <w:tc>
          <w:p>
            <w:pPr>
              <w:pStyle w:val="4"/>
            </w:pPr>
          </w:p>
        </w:tc>
      </w:tr>
      <w:tr>
        <w:trPr>
          <w:trHeight w:val="0" w:hRule="atLeast"/>
        </w:trPr>
        <w:tc>
          <w:p>
            <w:pPr>
              <w:pStyle w:val="4"/>
              <w:pageBreakBefore/>
            </w:pPr>
            <w:bookmarkStart w:id="5" w:name="JR_PAGE_ANCHOR_0_6"/>
            <w:bookmarkEnd w:id="5"/>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rPr>
          <w:trHeight w:val="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光大永明资产-永聚固收124号资产管理产品</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632,810,953.89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22CSFD93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309,972,720.00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9.49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22CSFD135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299,985,000.00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22CSFD161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279,990,760.00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8.57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22CSFD154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239,989,920.00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光大银行大额存单20200228001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189,938,440.00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22CSFD79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159,988,480.00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120,000,180.00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20渝枢02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51,919,400.00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20海湾01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50,023,750.00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1.53</w:t>
                        </w:r>
                      </w:p>
                    </w:tc>
                  </w:tr>
                </w:tbl>
                <w:p>
                  <w:pPr>
                    <w:pStyle w:val="4"/>
                  </w:pPr>
                </w:p>
              </w:tc>
            </w:tr>
          </w:tbl>
          <w:p>
            <w:pPr>
              <w:pStyle w:val="4"/>
            </w:pPr>
          </w:p>
        </w:tc>
        <w:tc>
          <w:p>
            <w:pPr>
              <w:pStyle w:val="4"/>
            </w:pPr>
          </w:p>
        </w:tc>
      </w:tr>
      <w:tr>
        <w:trPr>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20黄石众邦MTN001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21滁州同创MTN001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8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051010100101186397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兴业银行天天万利宝稳利6号K款净值型理财产品</w:t>
                        </w:r>
                      </w:p>
                    </w:tc>
                  </w:tr>
                </w:tbl>
                <w:p>
                  <w:pPr>
                    <w:pStyle w:val="4"/>
                  </w:pPr>
                </w:p>
              </w:tc>
            </w:tr>
          </w:tbl>
          <w:p>
            <w:pPr>
              <w:pStyle w:val="4"/>
            </w:pPr>
          </w:p>
        </w:tc>
        <w:tc>
          <w:p>
            <w:pPr>
              <w:pStyle w:val="4"/>
            </w:pPr>
          </w:p>
        </w:tc>
      </w:tr>
      <w:tr>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2023年1月28日</w:t>
            </w:r>
          </w:p>
        </w:tc>
        <w:tc>
          <w:tcPr>
            <w:gridSpan w:val="4"/>
          </w:tcPr>
          <w:p>
            <w:pPr>
              <w:pStyle w:val="4"/>
            </w:pPr>
          </w:p>
        </w:tc>
        <w:tc>
          <w:p>
            <w:pPr>
              <w:pStyle w:val="4"/>
            </w:pPr>
          </w:p>
        </w:tc>
      </w:tr>
      <w:tr>
        <w:trPr>
          <w:trHeight w:val="114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ocumentProtection w:enforcement="0"/>
  <w:defaultTabStop w:val="800"/>
  <w:compat>
    <w:useFELayout/>
    <w:splitPgBreakAndParaMark/>
    <w:compatSetting w:name="compatibilityMode" w:uri="http://schemas.microsoft.com/office/word" w:val="12"/>
  </w:compat>
  <w:rsids>
    <w:rsidRoot w:val="00000000"/>
    <w:rsid w:val="5B8B3F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2023-01-17T02:15:15Z</dcterms:created>
  <dc:creator>cib</dc:creator>
  <cp:lastModifiedBy>cib</cp:lastModifiedBy>
  <dcterms:modified xsi:type="dcterms:W3CDTF">2023-01-17T02:15:43Z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