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兴业银行天天万利宝稳利6号L款净值型理财产品2022年第四季度报告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兴业银行天天万利宝稳利6号L款净值型理财产品</w:t>
            </w:r>
            <w:r>
              <w:rPr>
                <w:rFonts w:ascii="宋体" w:hAnsi="宋体" w:eastAsia="宋体" w:cs="宋体"/>
                <w:b/>
                <w:color w:val="000000"/>
                <w:sz w:val="32"/>
              </w:rPr>
              <w:br w:type="textWrapping"/>
            </w:r>
            <w:r>
              <w:rPr>
                <w:rFonts w:ascii="宋体" w:hAnsi="宋体" w:eastAsia="宋体" w:cs="宋体"/>
                <w:b/>
                <w:color w:val="000000"/>
                <w:sz w:val="32"/>
              </w:rPr>
              <w:t>2022年第四季度报告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报告送出日期：2023年1月28日</w:t>
            </w: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兴业银行天天万利宝稳利6号L款净值型理财产品2022年第四季度报告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兴业银行天天万利宝稳利6号L款净值型理财产品2022年第四季度报告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wAfter w:w="40" w:type="dxa"/>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wAfter w:w="40" w:type="dxa"/>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wAfter w:w="40" w:type="dxa"/>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兴业银行天天万利宝稳利6号L款净值型理财产品</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9K209160</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Z7002021000109</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3,688,005,476.4份</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wAfter w:w="40" w:type="dxa"/>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稳利季季增利D款</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9K20916A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3,626,732,281.98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稳利季季增利D款B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9K20916B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34,151,382.93</w:t>
                        </w:r>
                      </w:p>
                    </w:tc>
                  </w:tr>
                </w:tbl>
                <w:p>
                  <w:pPr>
                    <w:pStyle w:val="4"/>
                  </w:pPr>
                </w:p>
              </w:tc>
            </w:tr>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vAlign w:val="top"/>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rPr>
                            <w:rFonts w:ascii="宋体" w:hAnsi="宋体" w:eastAsia="宋体" w:cs="宋体"/>
                            <w:color w:val="000000"/>
                            <w:sz w:val="21"/>
                          </w:rPr>
                        </w:pPr>
                        <w:r>
                          <w:rPr>
                            <w:rFonts w:ascii="宋体" w:hAnsi="宋体" w:eastAsia="宋体" w:cs="宋体"/>
                            <w:color w:val="000000"/>
                            <w:sz w:val="21"/>
                          </w:rPr>
                          <w:t>稳利季季增利D款D</w:t>
                        </w:r>
                      </w:p>
                    </w:tc>
                  </w:tr>
                </w:tbl>
                <w:p>
                  <w:pPr>
                    <w:ind w:firstLine="0"/>
                    <w:jc w:val="center"/>
                    <w:rPr>
                      <w:rFonts w:ascii="宋体" w:hAnsi="宋体" w:eastAsia="宋体" w:cs="宋体"/>
                      <w:color w:val="000000"/>
                      <w:sz w:val="21"/>
                    </w:rPr>
                  </w:pPr>
                </w:p>
              </w:tc>
              <w:tc>
                <w:tcPr>
                  <w:tcW w:w="36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vAlign w:val="top"/>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0"/>
                          <w:jc w:val="center"/>
                          <w:rPr>
                            <w:rFonts w:ascii="宋体" w:hAnsi="宋体" w:eastAsia="宋体" w:cs="宋体"/>
                            <w:color w:val="000000"/>
                            <w:sz w:val="21"/>
                          </w:rPr>
                        </w:pPr>
                        <w:r>
                          <w:rPr>
                            <w:rFonts w:ascii="宋体" w:hAnsi="宋体" w:eastAsia="宋体" w:cs="宋体"/>
                            <w:color w:val="000000"/>
                            <w:sz w:val="21"/>
                          </w:rPr>
                          <w:t>9K20916D</w:t>
                        </w:r>
                        <w:bookmarkStart w:id="7" w:name="_GoBack"/>
                        <w:bookmarkEnd w:id="7"/>
                      </w:p>
                    </w:tc>
                  </w:tr>
                </w:tbl>
                <w:p>
                  <w:pPr>
                    <w:ind w:firstLine="0"/>
                    <w:jc w:val="center"/>
                    <w:rPr>
                      <w:rFonts w:ascii="宋体" w:hAnsi="宋体" w:eastAsia="宋体" w:cs="宋体"/>
                      <w:color w:val="000000"/>
                      <w:sz w:val="21"/>
                    </w:rPr>
                  </w:pPr>
                </w:p>
              </w:tc>
              <w:tc>
                <w:tcPr>
                  <w:tcW w:w="4100" w:type="dxa"/>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vAlign w:val="top"/>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rPr>
                            <w:rFonts w:ascii="宋体" w:hAnsi="宋体" w:eastAsia="宋体" w:cs="宋体"/>
                            <w:color w:val="000000"/>
                            <w:sz w:val="21"/>
                          </w:rPr>
                        </w:pPr>
                        <w:r>
                          <w:rPr>
                            <w:rFonts w:ascii="宋体" w:hAnsi="宋体" w:eastAsia="宋体" w:cs="宋体"/>
                            <w:color w:val="000000"/>
                            <w:sz w:val="21"/>
                          </w:rPr>
                          <w:t>27,121,811.49</w:t>
                        </w:r>
                      </w:p>
                    </w:tc>
                  </w:tr>
                </w:tbl>
                <w:p>
                  <w:pPr>
                    <w:ind w:firstLine="0"/>
                    <w:jc w:val="center"/>
                    <w:rPr>
                      <w:rFonts w:ascii="宋体" w:hAnsi="宋体" w:eastAsia="宋体" w:cs="宋体"/>
                      <w:color w:val="000000"/>
                      <w:sz w:val="21"/>
                    </w:rPr>
                  </w:pPr>
                </w:p>
              </w:tc>
            </w:tr>
          </w:tbl>
          <w:p>
            <w:pPr>
              <w:pStyle w:val="4"/>
            </w:pPr>
          </w:p>
        </w:tc>
        <w:tc>
          <w:p>
            <w:pPr>
              <w:pStyle w:val="4"/>
            </w:pPr>
          </w:p>
        </w:tc>
      </w:tr>
      <w:tr>
        <w:tblPrEx>
          <w:tblCellMar>
            <w:top w:w="0" w:type="dxa"/>
            <w:left w:w="10" w:type="dxa"/>
            <w:bottom w:w="0" w:type="dxa"/>
            <w:right w:w="10" w:type="dxa"/>
          </w:tblCellMar>
        </w:tblPrEx>
        <w:trPr>
          <w:gridAfter w:val="4"/>
          <w:wAfter w:w="40" w:type="dxa"/>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兴业银行天天万利宝稳利6号L款净值型理财产品2022年第四季度报告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产品9K20916A自成立日以来，累计净值增长率为5.4400%，年化累计净值增长率为3.3149%。</w:t>
            </w:r>
            <w:r>
              <w:rPr>
                <w:rFonts w:ascii="宋体" w:hAnsi="宋体" w:eastAsia="宋体" w:cs="宋体"/>
                <w:color w:val="000000"/>
                <w:sz w:val="21"/>
              </w:rPr>
              <w:br w:type="textWrapping"/>
            </w:r>
            <w:r>
              <w:rPr>
                <w:rFonts w:ascii="宋体" w:hAnsi="宋体" w:eastAsia="宋体" w:cs="宋体"/>
                <w:color w:val="000000"/>
                <w:sz w:val="21"/>
              </w:rPr>
              <w:t>产品9K20916B自成立日以来，累计净值增长率为1.2490%，年化累计净值增长率为1.9399%。</w:t>
            </w:r>
            <w:r>
              <w:rPr>
                <w:rFonts w:ascii="宋体" w:hAnsi="宋体" w:eastAsia="宋体" w:cs="宋体"/>
                <w:color w:val="000000"/>
                <w:sz w:val="21"/>
              </w:rPr>
              <w:br w:type="textWrapping"/>
            </w:r>
            <w:r>
              <w:rPr>
                <w:rFonts w:ascii="宋体" w:hAnsi="宋体" w:eastAsia="宋体" w:cs="宋体"/>
                <w:color w:val="000000"/>
                <w:sz w:val="21"/>
              </w:rPr>
              <w:t>产品9K20916D自成立日以来，累计净值增长率为1.3700%，年化累计净值增长率为2.1370%。</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1.04288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1.05411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3,846,156,510.40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1.05440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3,783,303,637.96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1.01249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1.01249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34,577,864.01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1.04252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1.04252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28,275,008.43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沈方威先生，中国人民大学金融学硕士，中央财经大学投资学学士，拥有7年的债券投资交易经验，曾任职于中国农业银行金融市场部交易员，于2020年7月加入兴银理财，担任固定收益部投资经理，投资交易经验丰富，注重基本面和政策研究，关注资产性价比，追求稳定回报。</w:t>
            </w:r>
          </w:p>
        </w:tc>
        <w:tc>
          <w:tcPr>
            <w:gridSpan w:val="4"/>
          </w:tcPr>
          <w:p>
            <w:pPr>
              <w:pStyle w:val="4"/>
            </w:pPr>
          </w:p>
        </w:tc>
        <w:tc>
          <w:p>
            <w:pPr>
              <w:pStyle w:val="4"/>
            </w:pPr>
          </w:p>
        </w:tc>
      </w:tr>
      <w:tr>
        <w:tblPrEx>
          <w:tblCellMar>
            <w:top w:w="0" w:type="dxa"/>
            <w:left w:w="10" w:type="dxa"/>
            <w:bottom w:w="0" w:type="dxa"/>
            <w:right w:w="10" w:type="dxa"/>
          </w:tblCellMar>
        </w:tblPrEx>
        <w:trPr>
          <w:trHeight w:val="1154"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273"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rPr>
                <w:rFonts w:ascii="宋体" w:hAnsi="宋体" w:eastAsia="宋体" w:cs="宋体"/>
                <w:color w:val="000000"/>
                <w:sz w:val="21"/>
              </w:rPr>
            </w:pPr>
            <w:r>
              <w:rPr>
                <w:rFonts w:ascii="宋体" w:hAnsi="宋体" w:eastAsia="宋体" w:cs="宋体"/>
                <w:color w:val="000000"/>
                <w:sz w:val="21"/>
              </w:rPr>
              <w:t>一、2022年四季度投资策略与运作回顾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r>
          </w:p>
          <w:p>
            <w:pPr>
              <w:spacing w:before="0" w:after="0" w:line="320" w:lineRule="exact"/>
              <w:ind w:firstLine="0"/>
              <w:jc w:val="left"/>
              <w:rPr>
                <w:rFonts w:ascii="宋体" w:hAnsi="宋体" w:eastAsia="宋体" w:cs="宋体"/>
                <w:color w:val="000000"/>
                <w:sz w:val="21"/>
              </w:rPr>
            </w:pPr>
            <w:r>
              <w:rPr>
                <w:rFonts w:ascii="宋体" w:hAnsi="宋体" w:eastAsia="宋体" w:cs="宋体"/>
                <w:color w:val="000000"/>
                <w:sz w:val="21"/>
              </w:rP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兴业银行天天万利宝稳利6号L款净值型理财产品2022年第四季度报告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9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二、2023一季度投资策略展望</w:t>
            </w:r>
            <w:r>
              <w:rPr>
                <w:rFonts w:ascii="宋体" w:hAnsi="宋体" w:eastAsia="宋体" w:cs="宋体"/>
                <w:color w:val="000000"/>
                <w:sz w:val="21"/>
              </w:rPr>
              <w:br w:type="textWrapping"/>
            </w:r>
            <w:r>
              <w:rPr>
                <w:rFonts w:ascii="宋体" w:hAnsi="宋体" w:eastAsia="宋体" w:cs="宋体"/>
                <w:color w:val="000000"/>
                <w:sz w:val="21"/>
              </w:rP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7.97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买入返售金融资产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0.20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90.44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91.42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为防范无法支付赎回款而产生的流动性风险，本理财产品管理人将合理安排所投资产期限，持续根据市场变化情况做好投资安排，尽可能降低产品流动性风险，有效保障理财持有人利益。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兴业银行天天万利宝稳利6号L款净值型理财产品2022年第四季度报告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22CSFD161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319,989,440.00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中再资管安心收益6号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302,501,281.04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22CSFD155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299,987,400.00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22CSFD152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299,987,400.00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22CSFD172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239,992,320.00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22CSFD135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159,992,000.00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21四川路桥MTN001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149,580,150.00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22CSFD131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129,993,240.00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20陕高速MTN001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100,597,100.00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20东北C1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80,138,480.00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20麓山投资MTN002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20农垦MTN001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20伊犁财通MTN001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20镇江城建MTN001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20镇江城建MTN003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21常德经建MTN002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21东南国资MTN001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21南湖投资MTN001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21粤财投资MTN001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兴业银行天天万利宝稳利6号L款净值型理财产品2022年第四季度报告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22象屿金象CP002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051010100101186429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兴业银行天天万利宝稳利6号L款净值型理财产品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2023年1月28日</w:t>
            </w:r>
          </w:p>
        </w:tc>
        <w:tc>
          <w:tcPr>
            <w:gridSpan w:val="4"/>
          </w:tcPr>
          <w:p>
            <w:pPr>
              <w:pStyle w:val="4"/>
            </w:pPr>
          </w:p>
        </w:tc>
        <w:tc>
          <w:p>
            <w:pPr>
              <w:pStyle w:val="4"/>
            </w:pPr>
          </w:p>
        </w:tc>
      </w:tr>
      <w:tr>
        <w:tblPrEx>
          <w:tblCellMar>
            <w:top w:w="0" w:type="dxa"/>
            <w:left w:w="10" w:type="dxa"/>
            <w:bottom w:w="0" w:type="dxa"/>
            <w:right w:w="10" w:type="dxa"/>
          </w:tblCellMar>
        </w:tblPrEx>
        <w:trPr>
          <w:trHeight w:val="64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800"/>
  <w:compat>
    <w:useFELayout/>
    <w:splitPgBreakAndParaMark/>
    <w:compatSetting w:name="compatibilityMode" w:uri="http://schemas.microsoft.com/office/word" w:val="12"/>
  </w:compat>
  <w:rsids>
    <w:rsidRoot w:val="00000000"/>
    <w:rsid w:val="04455A13"/>
    <w:rsid w:val="08F07E1D"/>
    <w:rsid w:val="09730560"/>
    <w:rsid w:val="0C816CDB"/>
    <w:rsid w:val="0E5D27D6"/>
    <w:rsid w:val="0E6443CA"/>
    <w:rsid w:val="12180102"/>
    <w:rsid w:val="12E82E23"/>
    <w:rsid w:val="17B6758F"/>
    <w:rsid w:val="1A732B30"/>
    <w:rsid w:val="26BD1002"/>
    <w:rsid w:val="29BB14AE"/>
    <w:rsid w:val="2DB26D23"/>
    <w:rsid w:val="41B10E07"/>
    <w:rsid w:val="45984429"/>
    <w:rsid w:val="49547852"/>
    <w:rsid w:val="54EE7BF9"/>
    <w:rsid w:val="58B3248E"/>
    <w:rsid w:val="5D2F370E"/>
    <w:rsid w:val="60AE321C"/>
    <w:rsid w:val="651545C1"/>
    <w:rsid w:val="69291B0A"/>
    <w:rsid w:val="6FA00A10"/>
    <w:rsid w:val="73331851"/>
    <w:rsid w:val="76F9184B"/>
    <w:rsid w:val="7A2D7ECE"/>
    <w:rsid w:val="7A8B63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2023-01-16T11:22:14Z</dcterms:created>
  <dc:creator>User</dc:creator>
  <cp:lastModifiedBy>cib</cp:lastModifiedBy>
  <dcterms:modified xsi:type="dcterms:W3CDTF">2023-01-16T11:27:36Z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