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3020"/>
        <w:gridCol w:w="380"/>
        <w:gridCol w:w="2000"/>
        <w:gridCol w:w="2000"/>
        <w:gridCol w:w="2620"/>
        <w:gridCol w:w="680"/>
        <w:gridCol w:w="1"/>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兴业银行天天万利宝稳利6号净值型理财产品H款2022年第四季度报告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20"/>
        </w:trPr>
        <w:tc>
          <w:tcPr>
     </w:tcPr>
          <w:p>
            <w:pPr>
              <w:pStyle w:val="EMPTY_CELL_STYLE"/>
            </w:pPr>
          </w:p>
        </w:tc>
        <w:tc>
          <w:tcPr>
            <w:gridSpan w:val="6"/>
            <w:tcMar>
              <w:top w:w="0" w:type="dxa"/>
              <w:left w:w="0" w:type="dxa"/>
              <w:bottom w:w="0" w:type="dxa"/>
              <w:right w:w="0" w:type="dxa"/>
            </w:tcMar>
            <w:vAlign w:val="center"/>
          </w:tcPr>
          <w:p>
            <w:pPr>
              <w:ind/>
              <w:jc w:val="center"/>
              <w:spacing w:lineRule="auto" w:line="360" w:after="0" w:before="0"/>
            </w:pPr>
            <w:r>
              <w:rPr>
                <w:rFonts w:ascii="宋体" w:hAnsi="宋体" w:eastAsia="宋体" w:cs="宋体"/>
                <w:color w:val="000000"/>
                <w:sz w:val="32"/>
                <w:b w:val="true"/>
              </w:rPr>
              <w:t xml:space="preserve">兴业银行天天万利宝稳利6号净值型理财产品H款</w:t>
              <w:br/>
              <w:t xml:space="preserve">2022年第四季度报告</w:t>
            </w:r>
          </w:p>
        </w:tc>
        <w:tc>
          <w:tcPr>
     </w:tcPr>
          <w:p>
            <w:pPr>
              <w:pStyle w:val="EMPTY_CELL_STYLE"/>
            </w:pPr>
          </w:p>
        </w:tc>
      </w:tr>
      <w:tr>
        <w:trPr>
          <w:trHeight w:hRule="exact" w:val="6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理财产品管理人：兴银理财有限责任公司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理财产品托管人：兴业银行股份有限公司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报告送出日期：2023年1月28日</w:t>
            </w:r>
          </w:p>
        </w:tc>
        <w:tc>
          <w:tcPr>
     </w:tcPr>
          <w:p>
            <w:pPr>
              <w:pStyle w:val="EMPTY_CELL_STYLE"/>
            </w:pPr>
          </w:p>
        </w:tc>
        <w:tc>
          <w:tcPr>
     </w:tcPr>
          <w:p>
            <w:pPr>
              <w:pStyle w:val="EMPTY_CELL_STYLE"/>
            </w:pPr>
          </w:p>
        </w:tc>
      </w:tr>
      <w:tr>
        <w:trPr>
          <w:trHeight w:hRule="exact" w:val="2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1/</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100"/>
        <w:gridCol w:w="3300"/>
        <w:gridCol w:w="1000"/>
        <w:gridCol w:w="1000"/>
        <w:gridCol w:w="1000"/>
        <w:gridCol w:w="1000"/>
        <w:gridCol w:w="3100"/>
        <w:gridCol w:w="20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8"/>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兴业银行天天万利宝稳利6号净值型理财产品H款2022年第四季度报告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8"/>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宋体" w:hAnsi="宋体" w:eastAsia="宋体" w:cs="宋体"/>
                <w:color w:val="000000"/>
                <w:sz w:val="30"/>
                <w:b w:val="true"/>
              </w:rPr>
              <w:t xml:space="preserve">目  录</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40"/>
        </w:trPr>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jc w:val="left"/>
              <w:spacing w:lineRule="auto" w:line="336" w:after="0" w:before="0"/>
            </w:pPr>
            <w:r>
              <w:rPr>
                <w:rFonts w:ascii="宋体" w:hAnsi="宋体" w:eastAsia="宋体" w:cs="宋体"/>
                <w:color w:val="000000"/>
                <w:sz w:val="21"/>
              </w:rPr>
              <w:t xml:space="preserve">§ 一. 重要提示</w:t>
              <w:br/>
              <w:t xml:space="preserve">§ 二. 产品基本信息</w:t>
              <w:br/>
              <w:t xml:space="preserve">§ 三. 产品收益表现</w:t>
              <w:br/>
              <w:t xml:space="preserve">§ 四. 产品投资经理简介</w:t>
              <w:br/>
              <w:t xml:space="preserve">§ 五. 报告期内产品投资策略</w:t>
              <w:br/>
              <w:t xml:space="preserve">§ 六. 投资组合情况</w:t>
              <w:br/>
              <w:t xml:space="preserve">     1. 报告期末资产组合情况</w:t>
              <w:br/>
              <w:t xml:space="preserve">     2. 报告期末杠杆融资情况</w:t>
              <w:br/>
              <w:t xml:space="preserve">     3. 投资组合的流动性风险分析</w:t>
              <w:br/>
              <w:t xml:space="preserve">     4. 报告期末资产持仓前十基本信息</w:t>
              <w:br/>
              <w:t xml:space="preserve">     5. 报告期间关联交易情况</w:t>
              <w:br/>
              <w:t xml:space="preserve">     6. 投资账户信息</w:t>
            </w:r>
          </w:p>
        </w:tc>
        <w:tc>
          <w:tcPr>
     </w:tcPr>
          <w:p>
            <w:pPr>
              <w:pStyle w:val="EMPTY_CELL_STYLE"/>
            </w:pPr>
          </w:p>
        </w:tc>
        <w:tc>
          <w:tcPr>
     </w:tcPr>
          <w:p>
            <w:pPr>
              <w:pStyle w:val="EMPTY_CELL_STYLE"/>
            </w:pPr>
          </w:p>
        </w:tc>
      </w:tr>
      <w:tr>
        <w:trPr>
          <w:trHeight w:hRule="exact" w:val="6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2/</w:t>
            </w:r>
          </w:p>
        </w:tc>
        <w:tc>
          <w:tcPr>
            <w:gridSpan w:val="2"/>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740"/>
        <w:gridCol w:w="1260"/>
        <w:gridCol w:w="2000"/>
        <w:gridCol w:w="330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兴业银行天天万利宝稳利6号净值型理财产品H款2022年第四季度报告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一. 重要提示</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80"/>
        </w:trPr>
        <w:tc>
          <w:tcPr>
     </w:tcPr>
          <w:p>
            <w:pPr>
              <w:pStyle w:val="EMPTY_CELL_STYLE"/>
            </w:pPr>
          </w:p>
        </w:tc>
        <w:tc>
          <w:tcPr>
            <w:gridSpan w:val="5"/>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vAlign w:val="top"/>
          </w:tcPr>
          <w:p>
            <w:pPr>
              <w:ind/>
              <w:jc w:val="left"/>
              <w:spacing w:lineRule="auto" w:line="360" w:after="0" w:before="0"/>
            </w:pPr>
            <w:r>
              <w:rPr>
                <w:rFonts w:ascii="仿宋" w:hAnsi="仿宋" w:eastAsia="仿宋" w:cs="仿宋"/>
                <w:color w:val="000000"/>
                <w:sz w:val="21"/>
              </w:rPr>
              <w:br/>
              <w:t xml:space="preserve"> 1. 温馨提醒：理财非存款，产品有风险，投资需谨慎！</w:t>
              <w:br/>
              <w:t xml:space="preserve"> 2. 理财信息可供参考，详情请咨询理财经理，或在“中国理财网（www.chinawealth.com.cn）”查询该产品相关信息。</w:t>
              <w:br/>
              <w:t xml:space="preserve"> 3. 兴银理财有限责任公司保留对所有文字说明的最终解释权。</w:t>
              <w:br/>
              <w:t xml:space="preserve"> 4. 投资组合情况（期末资产组合情况、杠杆比例、资产前十持仓等）详情请理财持有人登录网银后进行查询。</w:t>
              <w:br/>
            </w: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二. 产品基本情况</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产品名称</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兴业银行天天万利宝稳利6号净值型理财产品H款</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产品代码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9K209120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全国银行业理财信息登记系统登记编码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Z7002021000096</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产品运作方式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开放式</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产品募集方式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公募</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投资类型</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固定收益类</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报告期末产品份额总额</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6,816,000,424.49份</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业绩比较基准/业绩报酬计提基准</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投资币种</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人民币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风险等级</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R2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产品管理人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兴银理财有限责任公司</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产品托管人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兴业银行股份有限公司</w:t>
            </w:r>
          </w:p>
        </w:tc>
        <w:tc>
          <w:tcPr>
     </w:tcPr>
          <w:p>
            <w:pPr>
              <w:pStyle w:val="EMPTY_CELL_STYLE"/>
            </w:pPr>
          </w:p>
        </w:tc>
      </w:tr>
      <w:tr>
        <w:trPr>
          <w:trHeight w:hRule="exact" w:val="2400"/>
        </w:trPr>
        <w:tc>
          <w:tcPr>
     </w:tcPr>
          <w:p>
            <w:pPr>
              <w:pStyle w:val="EMPTY_CELL_STYLE"/>
            </w:pPr>
          </w:p>
        </w:tc>
        <w:tc>
          <w:tcPr>
            <w:gridSpan w:val="5"/>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tbl>
            <w:tblPr>
              <w:tblLayout w:type="fixed"/>
            </w:tblPr>
            <w:tblGrid>
              <w:gridCol w:w="3000"/>
              <w:gridCol w:w="3600"/>
              <w:gridCol w:w="4100"/>
            </w:tblGrid>
            <w:tr>
              <w:trPr>
                <w:trHeight w:hRule="exact" w:val="580"/>
              </w:trPr>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2980"/>
                    <w:gridCol w:w="20"/>
                  </w:tblGrid>
                  <w:tr>
                    <w:trPr>
                      <w:trHeight w:hRule="atLeast" w:val="580"/>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 xml:space="preserve">下属子份额的销售名称</w:t>
                        </w:r>
                      </w:p>
                    </w:tc>
                    <w:tc>
                      <w:tcPr>
     </w:tcPr>
                      <w:p>
                        <w:pPr>
                          <w:pStyle w:val="EMPTY_CELL_STYLE"/>
                        </w:pPr>
                      </w:p>
                    </w:tc>
                  </w:tr>
                </w:tbl>
                <w:p>
                  <w:pPr>
                    <w:pStyle w:val="EMPTY_CELL_STYLE"/>
                  </w:pPr>
                </w:p>
              </w:tc>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80"/>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 xml:space="preserve">下属子份额的销售代码</w:t>
                        </w:r>
                      </w:p>
                    </w:tc>
                  </w:tr>
                </w:tbl>
                <w:p>
                  <w:pPr>
                    <w:pStyle w:val="EMPTY_CELL_STYLE"/>
                  </w:pPr>
                </w:p>
              </w:tc>
              <w:tc>
                <w:tcPr>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80"/>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 xml:space="preserve">报告期末下属子份额的产品份额总数</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稳利恒盈6号H款 9个月A</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9K20912A</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5,438,704,364.49</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稳利恒盈6号H款 9个月B</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9K20912B</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1,355,007,259.17</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稳利恒盈6号H款 9个月C</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9K20912C</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22,288,800.83</w:t>
                        </w:r>
                      </w:p>
                    </w:tc>
                  </w:tr>
                </w:tbl>
                <w:p>
                  <w:pPr>
                    <w:pStyle w:val="EMPTY_CELL_STYLE"/>
                  </w:pPr>
                </w:p>
              </w:tc>
            </w:tr>
          </w:tbl>
          <w:p>
            <w:pPr>
              <w:pStyle w:val="EMPTY_CELL_STYLE"/>
            </w:pPr>
          </w:p>
        </w:tc>
        <w:tc>
          <w:tcPr>
     </w:tcPr>
          <w:p>
            <w:pPr>
              <w:pStyle w:val="EMPTY_CELL_STYLE"/>
            </w:pPr>
          </w:p>
        </w:tc>
      </w:tr>
      <w:tr>
        <w:trPr>
          <w:trHeight w:hRule="exact" w:val="5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3/</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r>
    </w:tbl>
    <w:tbl>
      <w:tblPr>
        <w:tblLayout w:type="fixed"/>
      </w:tblPr>
      <w:tblGrid>
        <w:gridCol w:w="1"/>
        <w:gridCol w:w="40"/>
        <w:gridCol w:w="3360"/>
        <w:gridCol w:w="2000"/>
        <w:gridCol w:w="2000"/>
        <w:gridCol w:w="2840"/>
        <w:gridCol w:w="460"/>
        <w:gridCol w:w="4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兴业银行天天万利宝稳利6号净值型理财产品H款2022年第四季度报告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三. 产品收益表现</w:t>
            </w: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24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firstLine="0"/>
              <w:jc w:val="left"/>
              <w:spacing w:lineRule="exact" w:line="320" w:after="0" w:before="0"/>
            </w:pPr>
            <w:r>
              <w:rPr>
                <w:rFonts w:ascii="宋体" w:hAnsi="宋体" w:eastAsia="宋体" w:cs="宋体"/>
                <w:color w:val="000000"/>
                <w:sz w:val="21"/>
              </w:rPr>
              <w:t xml:space="preserve">产品9K20912A自成立日以来，累计净值增长率为5.5220%，年化累计净值增长率为3.1493%。</w:t>
              <w:br/>
              <w:t xml:space="preserve">产品9K20912B自成立日以来，累计净值增长率为2.4220%，年化累计净值增长率为2.4088%。</w:t>
              <w:br/>
              <w:t xml:space="preserve">产品9K20912C自成立日以来，累计净值增长率为-0.5040%，年化累计净值增长率为-1.9570%。</w:t>
              <w:br/>
              <w:t xml:space="preserve">报告期末，产品净值表现具体如下：</w:t>
            </w: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gridSpan w:val="6"/>
            <w:tcMar>
              <w:top w:w="0" w:type="dxa"/>
              <w:left w:w="0" w:type="dxa"/>
              <w:bottom w:w="0" w:type="dxa"/>
              <w:right w:w="0" w:type="dxa"/>
            </w:tcMar>
          </w:tcPr>
          <w:tbl>
            <w:tblPr>
              <w:tblLayout w:type="fixed"/>
            </w:tblPr>
            <w:tblGrid>
              <w:gridCol w:w="1800"/>
              <w:gridCol w:w="2000"/>
              <w:gridCol w:w="2400"/>
              <w:gridCol w:w="2200"/>
              <w:gridCol w:w="23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估值日期</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产品份额净值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产品累计净值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产品资产净值</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9K209120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0.99535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1.05529</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6,784,303,961.80</w:t>
                        </w:r>
                      </w:p>
                    </w:tc>
                  </w:tr>
                </w:tbl>
                <w:p>
                  <w:pPr>
                    <w:pStyle w:val="EMPTY_CELL_STYLE"/>
                  </w:pPr>
                </w:p>
              </w:tc>
            </w:tr>
          </w:tbl>
          <w:p>
            <w:pPr>
              <w:pStyle w:val="EMPTY_CELL_STYLE"/>
            </w:pPr>
          </w:p>
        </w:tc>
        <w:tc>
          <w:tcPr>
     </w:tcPr>
          <w:p>
            <w:pPr>
              <w:pStyle w:val="EMPTY_CELL_STYLE"/>
            </w:pPr>
          </w:p>
        </w:tc>
      </w:tr>
      <w:tr>
        <w:trPr>
          <w:trHeight w:hRule="exact" w:val="2400"/>
        </w:trPr>
        <w:tc>
          <w:tcPr>
     </w:tcPr>
          <w:p>
            <w:pPr>
              <w:pStyle w:val="EMPTY_CELL_STYLE"/>
            </w:pPr>
          </w:p>
        </w:tc>
        <w:tc>
          <w:tcPr>
     </w:tcPr>
          <w:p>
            <w:pPr>
              <w:pStyle w:val="EMPTY_CELL_STYLE"/>
            </w:pPr>
          </w:p>
        </w:tc>
        <w:tc>
          <w:tcPr>
            <w:gridSpan w:val="6"/>
            <w:tcMar>
              <w:top w:w="0" w:type="dxa"/>
              <w:left w:w="0" w:type="dxa"/>
              <w:bottom w:w="0" w:type="dxa"/>
              <w:right w:w="0" w:type="dxa"/>
            </w:tcMar>
          </w:tcPr>
          <w:tbl>
            <w:tblPr>
              <w:tblLayout w:type="fixed"/>
            </w:tblPr>
            <w:tblGrid>
              <w:gridCol w:w="1800"/>
              <w:gridCol w:w="2000"/>
              <w:gridCol w:w="2400"/>
              <w:gridCol w:w="2200"/>
              <w:gridCol w:w="23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销售代码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估值日期</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产品份额净值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产品累计净值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产品资产净值</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9K20912A</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0.99532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1.05522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5,413,272,892.69</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9K20912B</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0.99546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1.02422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1,348,854,668.94</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9K20912C</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0.99496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0.99496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22,176,400.17</w:t>
                        </w:r>
                      </w:p>
                    </w:tc>
                  </w:tr>
                </w:tbl>
                <w:p>
                  <w:pPr>
                    <w:pStyle w:val="EMPTY_CELL_STYLE"/>
                  </w:pPr>
                </w:p>
              </w:tc>
            </w:tr>
          </w:tbl>
          <w:p>
            <w:pPr>
              <w:pStyle w:val="EMPTY_CELL_STYLE"/>
            </w:pPr>
          </w:p>
        </w:tc>
        <w:tc>
          <w:tcPr>
     </w:tcPr>
          <w:p>
            <w:pPr>
              <w:pStyle w:val="EMPTY_CELL_STYLE"/>
            </w:pP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四. 产品投资经理简介</w:t>
            </w: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吴楚男先生，复旦大学金融学博士，9年固定收益领域投资交易经验，曾任职浙商银行金融市场部、友邦保险资产管理中心等金融机构，2020年10月加入兴银理财担任投资经理，对各固收品种有丰富的实战经验，擅长挖掘市场微观变化与机会。</w:t>
            </w:r>
          </w:p>
        </w:tc>
        <w:tc>
          <w:tcPr>
     </w:tcPr>
          <w:p>
            <w:pPr>
              <w:pStyle w:val="EMPTY_CELL_STYLE"/>
            </w:pPr>
          </w:p>
        </w:tc>
        <w:tc>
          <w:tcPr>
     </w:tcPr>
          <w:p>
            <w:pPr>
              <w:pStyle w:val="EMPTY_CELL_STYLE"/>
            </w:pPr>
          </w:p>
        </w:tc>
      </w:tr>
      <w:tr>
        <w:trPr>
          <w:trHeight w:hRule="exact" w:val="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五. 报告期内产品的投资策略和运作分析</w:t>
            </w: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140"/>
        </w:trPr>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一、2022年四季度投资策略与运作回顾</w:t>
              <w:br/>
              <w:t xml:space="preserve">    2022年1-10月债市利率震荡下行。10年国债利率去年末的2.78%，下行至了10月末的2.64%，累计下行了14bp。利率上半年震荡为主，利率中枢在2.78%，信用则自3月以来持续下行，实现了信用利差的大幅压缩；11月以来，在地产政策不断出台叠加疫情政策放开的影响下，利率快速回升，11月单月10年国债上行22bp，而3年AA+城投上行了64bp，利差迅速走阔，且不断恶化；12月以来，市场进入第二轮负反馈，本轮负反馈的主要冲击来自12月打开的定开型产品的赎回，在利率和存单已经跌幅收窄的情况下，信用和二永仍保持较深的下跌幅度。截止2022年末，相比9月底，10年国债上行8bp，同业存单上行43bp，3年AAA中票上行50bp，3年AA+中票上行74bp。</w:t>
              <w:br/>
              <w:t xml:space="preserve">    产品运作方面，考虑到边际抬升的资金利率、疫情、地产政策的边际变化，四季度整体采取了防守的投资策略，10月后逐步做了减仓。在具体操作方面，主要从相对增配低波资产、减持债券资产等角度进行积极调仓，为组合平衡收益与流动性。</w:t>
              <w:br/>
              <w:t xml:space="preserve">二、2023一季度投资策略展望</w:t>
              <w:br/>
              <w:t xml:space="preserve">    后市展望：2022年至今，国内流动性保持宽松，债券跑赢除商品外的大部分大类资产，获得更加稳健回报。</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4/</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3380"/>
        <w:gridCol w:w="2000"/>
        <w:gridCol w:w="2000"/>
        <w:gridCol w:w="3300"/>
        <w:gridCol w:w="2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兴业银行天天万利宝稳利6号净值型理财产品H款2022年第四季度报告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atLeast" w:val="190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2023年国内是稳增长大年，政策发力明确，但受制于房住不炒、地方严控隐性债务等约束，并不像以往周期那么容易刺激经济回升，地产和城投平台不再像以往周期那样融资需求积极扩张，叠加疫情冲击，在经济下行压力仍大、债券票息配置价值凸显的背景下，债券利率不具备继续大幅上行风险，全年不具有熊市的基本面基础。从绝对收益和利差角度来看，目前各期限债券和前期相比已具有一定的投资价值，当市场情绪渐稳后，存在一定的超调配置机会。下阶段总体策略：防守策略为主，看好高等级信用债票息和杠杆策略，以及金融机构债的投资机会，在波动中提高组合静态收益，兼顾产品流动性。</w:t>
            </w:r>
          </w:p>
        </w:tc>
        <w:tc>
          <w:tcPr>
     </w:tcPr>
          <w:p>
            <w:pPr>
              <w:pStyle w:val="EMPTY_CELL_STYLE"/>
            </w:pPr>
          </w:p>
        </w:tc>
        <w:tc>
          <w:tcPr>
     </w:tcPr>
          <w:p>
            <w:pPr>
              <w:pStyle w:val="EMPTY_CELL_STYLE"/>
            </w:pPr>
          </w:p>
        </w:tc>
      </w:tr>
      <w:tr>
        <w:trPr>
          <w:trHeight w:hRule="exac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六. 投资组合情况</w:t>
            </w: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1.报告期末产品资产组合情况</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0"/>
        </w:trPr>
        <w:tc>
          <w:tcPr>
     </w:tcPr>
          <w:p>
            <w:pPr>
              <w:pStyle w:val="EMPTY_CELL_STYLE"/>
            </w:pPr>
          </w:p>
        </w:tc>
        <w:tc>
          <w:tcPr>
     </w:tcPr>
          <w:p>
            <w:pPr>
              <w:pStyle w:val="EMPTY_CELL_STYLE"/>
            </w:pPr>
          </w:p>
        </w:tc>
        <w:tc>
          <w:tcPr>
            <w:gridSpan w:val="5"/>
            <w:shd w:val="clear" w:color="auto" w:fill="FFFFFF"/>
            <w:tcMar>
              <w:top w:w="0" w:type="dxa"/>
              <w:left w:w="0" w:type="dxa"/>
              <w:bottom w:w="0" w:type="dxa"/>
              <w:right w:w="0" w:type="dxa"/>
            </w:tcMar>
          </w:tcPr>
          <w:tbl>
            <w:tblPr>
              <w:tblLayout w:type="fixed"/>
            </w:tblPr>
            <w:tblGrid>
              <w:gridCol w:w="1000"/>
              <w:gridCol w:w="2600"/>
              <w:gridCol w:w="3600"/>
              <w:gridCol w:w="3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直接投资占产品总资产的比例（%）</w:t>
                        </w:r>
                      </w:p>
                    </w:tc>
                  </w:tr>
                </w:tbl>
                <w:p>
                  <w:pPr>
                    <w:pStyle w:val="EMPTY_CELL_STYLE"/>
                  </w:pPr>
                </w:p>
              </w:tc>
              <w:tc>
                <w:tcPr>
                  <w:shd w:val="clear" w:color="auto" w:fill="F0F8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间接投资占产品总资产的比例（%）</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现金及存款</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16.02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32.95</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买入返售金融资产</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0.45</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债券投资</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63.95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66.33</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公募基金</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0.27</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委外投资</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0.00</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总计</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2.报告期末杠杆融资情况</w:t>
            </w:r>
          </w:p>
        </w:tc>
        <w:tc>
          <w:tcPr>
     </w:tcPr>
          <w:p>
            <w:pPr>
              <w:pStyle w:val="EMPTY_CELL_STYLE"/>
            </w:pPr>
          </w:p>
        </w:tc>
        <w:tc>
          <w:tcPr>
     </w:tcPr>
          <w:p>
            <w:pPr>
              <w:pStyle w:val="EMPTY_CELL_STYLE"/>
            </w:pPr>
          </w:p>
        </w:tc>
      </w:tr>
      <w:tr>
        <w:trPr>
          <w:trHeight w:hRule="atLeast" w:val="100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报告期末本产品总资产未超过该产品净资产规模的140%，符合产品协议对本产品杠杆比例的要求。</w:t>
            </w: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3.投资组合的流动性风险分析</w:t>
            </w:r>
          </w:p>
        </w:tc>
        <w:tc>
          <w:tcPr>
     </w:tcPr>
          <w:p>
            <w:pPr>
              <w:pStyle w:val="EMPTY_CELL_STYLE"/>
            </w:pPr>
          </w:p>
        </w:tc>
        <w:tc>
          <w:tcPr>
     </w:tcPr>
          <w:p>
            <w:pPr>
              <w:pStyle w:val="EMPTY_CELL_STYLE"/>
            </w:pPr>
          </w:p>
        </w:tc>
      </w:tr>
      <w:tr>
        <w:trPr>
          <w:trHeight w:hRule="atLeast" w:val="258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br/>
              <w:t xml:space="preserve">    为防范无法支付赎回款而产生的流动性风险，本理财产品管理人将合理安排所投资产期限，持续根据市场变化情况做好投资安排，尽可能降低产品流动性风险，有效保障理财持有人利益。</w:t>
              <w:br/>
              <w:t xml:space="preserve">    报告期内，本理财产品管理人严格遵守相关法律法规以及产品销售协议，对理财产品组合资产的流动性风险进行管理，报告期内未发生流动性风险。</w:t>
              <w:br/>
            </w:r>
          </w:p>
        </w:tc>
        <w:tc>
          <w:tcPr>
     </w:tcPr>
          <w:p>
            <w:pPr>
              <w:pStyle w:val="EMPTY_CELL_STYLE"/>
            </w:pPr>
          </w:p>
        </w:tc>
        <w:tc>
          <w:tcPr>
     </w:tcPr>
          <w:p>
            <w:pPr>
              <w:pStyle w:val="EMPTY_CELL_STYLE"/>
            </w:pPr>
          </w:p>
        </w:tc>
      </w:tr>
      <w:tr>
        <w:trPr>
          <w:trHeight w:hRule="exact" w:val="2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5/</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
        <w:gridCol w:w="160"/>
        <w:gridCol w:w="3200"/>
        <w:gridCol w:w="2000"/>
        <w:gridCol w:w="2000"/>
        <w:gridCol w:w="3300"/>
        <w:gridCol w:w="4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兴业银行天天万利宝稳利6号净值型理财产品H款2022年第四季度报告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pPr>
            <w:r>
              <w:rPr>
                <w:rFonts w:ascii="宋体" w:hAnsi="宋体" w:eastAsia="宋体" w:cs="宋体"/>
                <w:color w:val="000000"/>
                <w:sz w:val="21"/>
                <w:b w:val="true"/>
              </w:rPr>
              <w:t xml:space="preserve">4.报告期末资产持仓前十基本信息</w:t>
            </w:r>
          </w:p>
        </w:tc>
        <w:tc>
          <w:tcPr>
     </w:tcPr>
          <w:p>
            <w:pPr>
              <w:pStyle w:val="EMPTY_CELL_STYLE"/>
            </w:pPr>
          </w:p>
        </w:tc>
      </w:tr>
      <w:tr>
        <w:trPr>
          <w:trHeight w:hRule="exact" w:val="6640"/>
        </w:trPr>
        <w:tc>
          <w:tcPr>
     </w:tcPr>
          <w:p>
            <w:pPr>
              <w:pStyle w:val="EMPTY_CELL_STYLE"/>
            </w:pPr>
          </w:p>
        </w:tc>
        <w:tc>
          <w:tcPr>
     </w:tcPr>
          <w:p>
            <w:pPr>
              <w:pStyle w:val="EMPTY_CELL_STYLE"/>
            </w:pPr>
          </w:p>
        </w:tc>
        <w:tc>
          <w:tcPr>
            <w:gridSpan w:val="6"/>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64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资产规模</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100"/>
                    <w:gridCol w:w="31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占产品资产净值的比例（%）</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中国工商银行贵阳分行大额存单03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499,534,500.00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7.36</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中国工商银行股份有限公司平顶山分行大额存单20210618001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499,189,000.00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7.36</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人保资管中短期配置8号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491,512,345.68</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7.24</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新华资产-明远四号资产管理产品</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485,173,849.89</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7.15</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新华资产-明鑫一号资产管理产品</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271,495,278.29</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22CSFD98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259,976,860.00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3.83</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光大永明资产-永聚固收124号资产管理产品</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201,643,730.89</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2.97</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20厦贸G1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109,786,710.00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1.62</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20海湾01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100,047,500.00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1.47</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17高创01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99,925,600.00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1.47</w:t>
                        </w:r>
                      </w:p>
                    </w:tc>
                  </w:tr>
                </w:tbl>
                <w:p>
                  <w:pPr>
                    <w:pStyle w:val="EMPTY_CELL_STYLE"/>
                  </w:pPr>
                </w:p>
              </w:tc>
            </w:tr>
          </w:tbl>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pPr>
            <w:r>
              <w:rPr>
                <w:rFonts w:ascii="宋体" w:hAnsi="宋体" w:eastAsia="宋体" w:cs="宋体"/>
                <w:color w:val="000000"/>
                <w:sz w:val="21"/>
                <w:b w:val="true"/>
              </w:rPr>
              <w:t xml:space="preserve">5.报告期间关联交易情况</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5.1 理财产品在报告期末投资关联方发行、承销的证券的情况</w:t>
            </w:r>
          </w:p>
        </w:tc>
        <w:tc>
          <w:tcPr>
     </w:tcPr>
          <w:p>
            <w:pPr>
              <w:pStyle w:val="EMPTY_CELL_STYLE"/>
            </w:pPr>
          </w:p>
        </w:tc>
        <w:tc>
          <w:tcPr>
     </w:tcPr>
          <w:p>
            <w:pPr>
              <w:pStyle w:val="EMPTY_CELL_STYLE"/>
            </w:pPr>
          </w:p>
        </w:tc>
      </w:tr>
      <w:tr>
        <w:trPr>
          <w:trHeight w:hRule="exact" w:val="6000"/>
        </w:trPr>
        <w:tc>
          <w:tcPr>
     </w:tcPr>
          <w:p>
            <w:pPr>
              <w:pStyle w:val="EMPTY_CELL_STYLE"/>
            </w:pPr>
          </w:p>
        </w:tc>
        <w:tc>
          <w:tcPr>
            <w:gridSpan w:val="6"/>
            <w:tcMar>
              <w:top w:w="0" w:type="dxa"/>
              <w:left w:w="0" w:type="dxa"/>
              <w:bottom w:w="0" w:type="dxa"/>
              <w:right w:w="0" w:type="dxa"/>
            </w:tcMar>
          </w:tcPr>
          <w:tbl>
            <w:tblPr>
              <w:tblLayout w:type="fixed"/>
            </w:tblPr>
            <w:tblGrid>
              <w:gridCol w:w="1800"/>
              <w:gridCol w:w="3000"/>
              <w:gridCol w:w="2800"/>
              <w:gridCol w:w="31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承销商/发行人</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9K209120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18青岛黄岛MTN001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9K209120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18青岛黄岛MTN002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9K209120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19南宁城投MTN001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15,000,000.00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9K209120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20海尔金控MTN001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9K209120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20华靖资产PPN001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9K209120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20津能源MTN002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9K209120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20连云城建MTN001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9K209120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20南安市贸MTN001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9K209120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20湘高速MTN001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6/</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
        <w:gridCol w:w="160"/>
        <w:gridCol w:w="3200"/>
        <w:gridCol w:w="2000"/>
        <w:gridCol w:w="2000"/>
        <w:gridCol w:w="3300"/>
        <w:gridCol w:w="40"/>
        <w:gridCol w:w="1"/>
      </w:tblGrid>
      <w:tr>
        <w:trPr>
          <w:trHeight w:hRule="exact" w:val="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兴业银行天天万利宝稳利6号净值型理财产品H款2022年第四季度报告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800"/>
        </w:trPr>
        <w:tc>
          <w:tcPr>
     </w:tcPr>
          <w:p>
            <w:pPr>
              <w:pStyle w:val="EMPTY_CELL_STYLE"/>
            </w:pPr>
          </w:p>
        </w:tc>
        <w:tc>
          <w:tcPr>
            <w:gridSpan w:val="6"/>
            <w:tcMar>
              <w:top w:w="0" w:type="dxa"/>
              <w:left w:w="0" w:type="dxa"/>
              <w:bottom w:w="0" w:type="dxa"/>
              <w:right w:w="0" w:type="dxa"/>
            </w:tcMar>
          </w:tcPr>
          <w:tbl>
            <w:tblPr>
              <w:tblLayout w:type="fixed"/>
            </w:tblPr>
            <w:tblGrid>
              <w:gridCol w:w="1800"/>
              <w:gridCol w:w="3000"/>
              <w:gridCol w:w="2800"/>
              <w:gridCol w:w="3100"/>
            </w:tblGrid>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9K209120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21海沧投资MTN003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9K209120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21吉安城建PPN002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9K209120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22华阳新材MTN010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15,000,000.00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9K209120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22淮安国联PPN001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9K209120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22津城建CP013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15,000,000.00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9K209120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22南安市贸MTN001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9K209120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22新疆有色MTN001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9K209120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22镇江交通MTN005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5.2 理财产品在报告期内其他关联交易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交易标的</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交易金额（万元）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5.3 理财产品在报告期内中的重大关联交易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6.投资账户信息</w:t>
            </w:r>
          </w:p>
        </w:tc>
        <w:tc>
          <w:tcPr>
     </w:tcPr>
          <w:p>
            <w:pPr>
              <w:pStyle w:val="EMPTY_CELL_STYLE"/>
            </w:pPr>
          </w:p>
        </w:tc>
      </w:tr>
      <w:tr>
        <w:trPr>
          <w:trHeight w:hRule="exact" w:val="1200"/>
        </w:trPr>
        <w:tc>
          <w:tcPr>
     </w:tcPr>
          <w:p>
            <w:pPr>
              <w:pStyle w:val="EMPTY_CELL_STYLE"/>
            </w:pPr>
          </w:p>
        </w:tc>
        <w:tc>
          <w:tcPr>
     </w:tcPr>
          <w:p>
            <w:pPr>
              <w:pStyle w:val="EMPTY_CELL_STYLE"/>
            </w:pPr>
          </w:p>
        </w:tc>
        <w:tc>
          <w:tcPr>
            <w:gridSpan w:val="6"/>
            <w:shd w:val="clear" w:color="auto" w:fill="FFFFFF"/>
            <w:tcMar>
              <w:top w:w="0" w:type="dxa"/>
              <w:left w:w="0" w:type="dxa"/>
              <w:bottom w:w="0" w:type="dxa"/>
              <w:right w:w="0" w:type="dxa"/>
            </w:tcMar>
          </w:tcPr>
          <w:tbl>
            <w:tblPr>
              <w:tblLayout w:type="fixed"/>
            </w:tblPr>
            <w:tblGrid>
              <w:gridCol w:w="1000"/>
              <w:gridCol w:w="2200"/>
              <w:gridCol w:w="3000"/>
              <w:gridCol w:w="4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账户编号</w:t>
                        </w:r>
                      </w:p>
                    </w:tc>
                  </w:tr>
                </w:tbl>
                <w:p>
                  <w:pPr>
                    <w:pStyle w:val="EMPTY_CELL_STYLE"/>
                  </w:pPr>
                </w:p>
              </w:tc>
              <w:tc>
                <w:tcPr>
                  <w:shd w:val="clear" w:color="auto" w:fill="B3B4B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账户名称</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托管账户</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051010100101185595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兴业银行天天万利宝稳利6号净值型理财产品H款</w:t>
                        </w:r>
                      </w:p>
                    </w:tc>
                  </w:tr>
                </w:tbl>
                <w:p>
                  <w:pPr>
                    <w:pStyle w:val="EMPTY_CELL_STYLE"/>
                  </w:pPr>
                </w:p>
              </w:tc>
            </w:tr>
          </w:tbl>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center"/>
          </w:tcPr>
          <w:p>
            <w:pPr>
              <w:ind/>
              <w:jc w:val="right"/>
            </w:pPr>
            <w:r>
              <w:rPr>
                <w:rFonts w:ascii="宋体" w:hAnsi="宋体" w:eastAsia="宋体" w:cs="宋体"/>
                <w:color w:val="000000"/>
                <w:sz w:val="21"/>
              </w:rPr>
              <w:t xml:space="preserve">兴银理财有限责任公司</w:t>
            </w: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top"/>
          </w:tcPr>
          <w:p>
            <w:pPr>
              <w:ind/>
              <w:jc w:val="right"/>
            </w:pPr>
            <w:r>
              <w:rPr>
                <w:rFonts w:ascii="宋体" w:hAnsi="宋体" w:eastAsia="宋体" w:cs="宋体"/>
                <w:color w:val="000000"/>
                <w:sz w:val="21"/>
              </w:rPr>
              <w:t xml:space="preserve">2023年1月28日</w:t>
            </w:r>
          </w:p>
        </w:tc>
        <w:tc>
          <w:tcPr>
     </w:tcPr>
          <w:p>
            <w:pPr>
              <w:pStyle w:val="EMPTY_CELL_STYLE"/>
            </w:pPr>
          </w:p>
        </w:tc>
        <w:tc>
          <w:tcPr>
     </w:tcPr>
          <w:p>
            <w:pPr>
              <w:pStyle w:val="EMPTY_CELL_STYLE"/>
            </w:pPr>
          </w:p>
        </w:tc>
      </w:tr>
      <w:tr>
        <w:trPr>
          <w:trHeight w:hRule="exact" w:val="28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7/</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sectPr>
      <w:pgSz w:w="11900" w:h="16840" w:orient="portrait"/>
      <w:pgMar w:top="600" w:right="560" w:bottom="240" w:left="60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Table_TH">
    <w:name w:val="Table_TH"/>
    <w:qFormat/>
    <w:pPr>
      <w:ind/>
    </w:pPr>
    <w:rPr>
      <w:rFonts w:ascii="SansSerif" w:hAnsi="SansSerif" w:eastAsia="SansSerif" w:cs="SansSerif"/>
      <w:color w:val="000000"/>
      <w:sz w:val="20"/>
    </w:rPr>
  </w:style>
  <w:style w:type="paragraph" w:styleId="Table_CH">
    <w:name w:val="Table_CH"/>
    <w:qFormat/>
    <w:pPr>
      <w:ind/>
    </w:pPr>
    <w:rPr>
      <w:rFonts w:ascii="SansSerif" w:hAnsi="SansSerif" w:eastAsia="SansSerif" w:cs="SansSerif"/>
      <w:color w:val="000000"/>
      <w:sz w:val="20"/>
    </w:rPr>
  </w:style>
  <w:style w:type="paragraph" w:styleId="Table_TD">
    <w:name w:val="Table_TD"/>
    <w:qFormat/>
    <w:pPr>
      <w:ind/>
    </w:pPr>
    <w:rPr>
      <w:rFonts w:ascii="SansSerif" w:hAnsi="SansSerif" w:eastAsia="SansSerif" w:cs="SansSerif"/>
      <w:color w:val="000000"/>
      <w:sz w:val="20"/>
    </w:rPr>
  </w:style>
  <w:style w:type="paragraph" w:styleId="Table_CD">
    <w:name w:val="Table_CD"/>
    <w:qFormat/>
    <w:pPr>
      <w:ind/>
    </w:pPr>
    <w:rPr>
      <w:rFonts w:ascii="SansSerif" w:hAnsi="SansSerif" w:eastAsia="SansSerif" w:cs="SansSerif"/>
      <w:color w:val="000000"/>
      <w:sz w:val="20"/>
    </w:rPr>
  </w:style>
  <w:style w:type="paragraph" w:styleId="Table 3_TH">
    <w:name w:val="Table 3_TH"/>
    <w:qFormat/>
    <w:pPr>
      <w:ind/>
    </w:pPr>
    <w:rPr>
      <w:rFonts w:ascii="SansSerif" w:hAnsi="SansSerif" w:eastAsia="SansSerif" w:cs="SansSerif"/>
      <w:color w:val="000000"/>
      <w:sz w:val="20"/>
    </w:rPr>
  </w:style>
  <w:style w:type="paragraph" w:styleId="Table 3_CH">
    <w:name w:val="Table 3_CH"/>
    <w:qFormat/>
    <w:pPr>
      <w:ind/>
    </w:pPr>
    <w:rPr>
      <w:rFonts w:ascii="SansSerif" w:hAnsi="SansSerif" w:eastAsia="SansSerif" w:cs="SansSerif"/>
      <w:color w:val="000000"/>
      <w:sz w:val="20"/>
    </w:rPr>
  </w:style>
  <w:style w:type="paragraph" w:styleId="Table 3_TD">
    <w:name w:val="Table 3_TD"/>
    <w:qFormat/>
    <w:pPr>
      <w:ind/>
    </w:pPr>
    <w:rPr>
      <w:rFonts w:ascii="SansSerif" w:hAnsi="SansSerif" w:eastAsia="SansSerif" w:cs="SansSerif"/>
      <w:color w:val="000000"/>
      <w:sz w:val="20"/>
    </w:rPr>
  </w:style>
  <w:style w:type="paragraph" w:styleId="Table 4_TH">
    <w:name w:val="Table 4_TH"/>
    <w:qFormat/>
    <w:pPr>
      <w:ind/>
    </w:pPr>
    <w:rPr>
      <w:rFonts w:ascii="SansSerif" w:hAnsi="SansSerif" w:eastAsia="SansSerif" w:cs="SansSerif"/>
      <w:color w:val="000000"/>
      <w:sz w:val="20"/>
    </w:rPr>
  </w:style>
  <w:style w:type="paragraph" w:styleId="Table 4_CH">
    <w:name w:val="Table 4_CH"/>
    <w:qFormat/>
    <w:pPr>
      <w:ind/>
    </w:pPr>
    <w:rPr>
      <w:rFonts w:ascii="SansSerif" w:hAnsi="SansSerif" w:eastAsia="SansSerif" w:cs="SansSerif"/>
      <w:color w:val="000000"/>
      <w:sz w:val="20"/>
    </w:rPr>
  </w:style>
  <w:style w:type="paragraph" w:styleId="Table 4_TD">
    <w:name w:val="Table 4_TD"/>
    <w:qFormat/>
    <w:pPr>
      <w:ind/>
    </w:pPr>
    <w:rPr>
      <w:rFonts w:ascii="SansSerif" w:hAnsi="SansSerif" w:eastAsia="SansSerif" w:cs="SansSerif"/>
      <w:color w:val="000000"/>
      <w:sz w:val="20"/>
    </w:rPr>
  </w:style>
  <w:style w:type="paragraph" w:styleId="Table 1_TH">
    <w:name w:val="Table 1_TH"/>
    <w:qFormat/>
    <w:pPr>
      <w:ind/>
    </w:pPr>
    <w:rPr>
      <w:rFonts w:ascii="SansSerif" w:hAnsi="SansSerif" w:eastAsia="SansSerif" w:cs="SansSerif"/>
      <w:color w:val="000000"/>
      <w:sz w:val="20"/>
    </w:rPr>
  </w:style>
  <w:style w:type="paragraph" w:styleId="Table 1_CH">
    <w:name w:val="Table 1_CH"/>
    <w:qFormat/>
    <w:pPr>
      <w:ind/>
    </w:pPr>
    <w:rPr>
      <w:rFonts w:ascii="SansSerif" w:hAnsi="SansSerif" w:eastAsia="SansSerif" w:cs="SansSerif"/>
      <w:color w:val="000000"/>
      <w:sz w:val="20"/>
    </w:rPr>
  </w:style>
  <w:style w:type="paragraph" w:styleId="Table 1_TD">
    <w:name w:val="Table 1_TD"/>
    <w:qFormat/>
    <w:pPr>
      <w:ind/>
    </w:pPr>
    <w:rPr>
      <w:rFonts w:ascii="SansSerif" w:hAnsi="SansSerif" w:eastAsia="SansSerif" w:cs="SansSerif"/>
      <w:color w:val="000000"/>
      <w:sz w:val="20"/>
    </w:rPr>
  </w:style>
  <w:style w:type="paragraph" w:styleId="Table 2_TH">
    <w:name w:val="Table 2_TH"/>
    <w:qFormat/>
    <w:pPr>
      <w:ind/>
    </w:pPr>
    <w:rPr>
      <w:rFonts w:ascii="SansSerif" w:hAnsi="SansSerif" w:eastAsia="SansSerif" w:cs="SansSerif"/>
      <w:color w:val="000000"/>
      <w:sz w:val="20"/>
    </w:rPr>
  </w:style>
  <w:style w:type="paragraph" w:styleId="Table 2_CH">
    <w:name w:val="Table 2_CH"/>
    <w:qFormat/>
    <w:pPr>
      <w:ind/>
    </w:pPr>
    <w:rPr>
      <w:rFonts w:ascii="SansSerif" w:hAnsi="SansSerif" w:eastAsia="SansSerif" w:cs="SansSerif"/>
      <w:color w:val="000000"/>
      <w:sz w:val="20"/>
    </w:rPr>
  </w:style>
  <w:style w:type="paragraph" w:styleId="Table 2_TD">
    <w:name w:val="Table 2_TD"/>
    <w:qFormat/>
    <w:pPr>
      <w:ind/>
    </w:pPr>
    <w:rPr>
      <w:rFonts w:ascii="SansSerif" w:hAnsi="SansSerif" w:eastAsia="SansSerif" w:cs="SansSerif"/>
      <w:color w:val="000000"/>
      <w:sz w:val="20"/>
    </w:rPr>
  </w:style>
  <w:style w:type="paragraph" w:styleId="Table 5_TH">
    <w:name w:val="Table 5_TH"/>
    <w:qFormat/>
    <w:pPr>
      <w:ind/>
    </w:pPr>
    <w:rPr>
      <w:rFonts w:ascii="SansSerif" w:hAnsi="SansSerif" w:eastAsia="SansSerif" w:cs="SansSerif"/>
      <w:color w:val="000000"/>
      <w:sz w:val="20"/>
    </w:rPr>
  </w:style>
  <w:style w:type="paragraph" w:styleId="Table 5_CH">
    <w:name w:val="Table 5_CH"/>
    <w:qFormat/>
    <w:pPr>
      <w:ind/>
    </w:pPr>
    <w:rPr>
      <w:rFonts w:ascii="SansSerif" w:hAnsi="SansSerif" w:eastAsia="SansSerif" w:cs="SansSerif"/>
      <w:color w:val="000000"/>
      <w:sz w:val="20"/>
    </w:rPr>
  </w:style>
  <w:style w:type="paragraph" w:styleId="Table 5_TD">
    <w:name w:val="Table 5_TD"/>
    <w:qFormat/>
    <w:pPr>
      <w:ind/>
    </w:pPr>
    <w:rPr>
      <w:rFonts w:ascii="SansSerif" w:hAnsi="SansSerif" w:eastAsia="SansSerif" w:cs="SansSerif"/>
      <w:color w:val="000000"/>
      <w:sz w:val="20"/>
    </w:rPr>
  </w:style>
  <w:style w:type="paragraph" w:styleId="Table 6_TH">
    <w:name w:val="Table 6_TH"/>
    <w:qFormat/>
    <w:pPr>
      <w:ind/>
    </w:pPr>
    <w:rPr>
      <w:rFonts w:ascii="SansSerif" w:hAnsi="SansSerif" w:eastAsia="SansSerif" w:cs="SansSerif"/>
      <w:color w:val="000000"/>
      <w:sz w:val="20"/>
    </w:rPr>
  </w:style>
  <w:style w:type="paragraph" w:styleId="Table 6_CH">
    <w:name w:val="Table 6_CH"/>
    <w:qFormat/>
    <w:pPr>
      <w:ind/>
    </w:pPr>
    <w:rPr>
      <w:rFonts w:ascii="SansSerif" w:hAnsi="SansSerif" w:eastAsia="SansSerif" w:cs="SansSerif"/>
      <w:color w:val="000000"/>
      <w:sz w:val="20"/>
    </w:rPr>
  </w:style>
  <w:style w:type="paragraph" w:styleId="Table 6_TD">
    <w:name w:val="Table 6_TD"/>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JasperReports Library version 6.6.0</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