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丰裕固收22059期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Z7002222000090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2022年10月11日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2024年10月22日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774,258,251.01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106.97%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774,258,251.01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767,010,690.00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丰裕固收22059期A款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FYG22059A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756,017,924.97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124,327.99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丰裕固收22059期E款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FYG22059E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18,115,998.05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丰裕固收22059期A款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丰裕固收22059期E款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1.79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32.86%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50.41%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46.74%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46.73%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20.14%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22亳州交控01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207,883,200.00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22河源润业01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124,361,503.56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22扬州龙川06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54,859,946.42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22江北建投MTN002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50,009,262.30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22金坛投资PPN001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40,899,643.42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22晋江城投PPN004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20,219,901.37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22宜春发展PPN001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20,212,663.01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22路桥公投MTN001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20,168,383.56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22红投01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19,758,949.33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22龙口01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10,306,261.50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50,044,150.70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6.46%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河源市润业投资有限公司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22河源润业01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124,361,503.56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扬州龙川控股集团有限责任公司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22扬州龙川06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54,859,946.42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亳州交通投资控股集团有限公司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22亳州交控01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207,883,200.00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767,010,690.00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767,010,690.00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杭银理财有限责任公司幸福99杭银理财丰裕固收第22059期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3301040160015309811-5122059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