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丰裕固收22066期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Z7002222000104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2022年11月15日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698,778,053.85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109.30%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698,778,053.85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685,617,587.00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1.0192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107,034,212.20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464,218,544.00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102,193,626.13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丰裕固收22066期E款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FYG22066E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25,331,671.52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丰裕固收22066期E款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50.66%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53.97%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45.07%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45.07%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22路桥公投02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179,874,378.25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164,368,767.86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22南湖02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60,325,651.97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8.63%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21德财03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51,196,794.52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21青岛海控PPN001(权益出资)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41,478,136.99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22虞交02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30,270,175.85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21绍兴柯桥PPN002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20,718,893.15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21湖北港口MTN002(革命老区)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20,592,706.85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22盐城交通MTN001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20,375,016.39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22惠通停车债01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20,371,333.33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62,029,547.95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8.88%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台州市黄岩国有资本投资运营集团有限公司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22黄岩国投01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164,368,767.86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台州市路桥公共资产投资管理集团有限公司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22路桥公投02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179,874,378.25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685,617,587.00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685,617,587.00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杭银理财幸福99丰裕固收22066期理财计划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3301040160015309811-5122066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