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Z7002222000106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2023年11月30日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698,228,064.80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698,228,064.80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683,890,979.00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1.0210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1.0210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107,214,000.56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322,615,875.47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262,920,466.42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丰裕固收22068期E款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FYG22068E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5,477,722.35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丰裕固收22068期B款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丰裕固收22068期E款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50.59%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50.59%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48.93%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48.93%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22绍兴城中村01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206,194,747.95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22建德高投01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82,254,919.45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54,543,564.74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21湖北港口MTN002(革命老区)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51,481,767.12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21重庆农商永续债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50,129,424.66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19成都开投PPN001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39,533,916.39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22南部新城MTN001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30,525,934.43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19锡滨01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21,474,099.45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21泰交通MTN003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20,748,027.40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19淳建01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17,737,683.56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绍兴市城中村改造建设投资有限公司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22绍兴城中村01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206,194,747.95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杭州建德高铁新区投资发展有限公司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22建德高投01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82,254,919.45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54,543,564.74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683,890,979.00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683,890,979.00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杭银理财幸福99丰裕固收22068期理财计划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