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丰裕固收22069期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第2季度报告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丰裕固收22069期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FYG22069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Z7002222000110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2022年11月29日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2023年12月7日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3.90%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604,523,709.47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102.21%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604,523,709.47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591,886,568.00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1.0214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1.0214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丰裕固收22069期B款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FYG22069B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1.0222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91,197,296.56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丰裕固收22069期C款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FYG22069C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1.0211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402,877,059.38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丰裕固收22069期D款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FYG22069D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1.0216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106,164,934.14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丰裕固收22069期E款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FYG22069E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1.0228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4,284,419.39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丰裕固收22069期B款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3.80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丰裕固收22069期C款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3.61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丰裕固收22069期D款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3.70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丰裕固收22069期E款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3.90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2023年2季度以来，债券收益率整体震荡下行， 宏观经济在经历1季度需求回暖后，2季度经济修复面临考验，社会总需求逐月走低，地产销售疲弱，出口增速下移，消费增速未有起色，通胀数据疲软，市场预期偏弱，货币、财政、房地产等政策相继出台，但经济刺激政策整体温和，投资者信心和社会总需求仍有待提振。在此背景下，2季度货币政策保持相对宽松，银行间回购利率长期低于政策利率，6月央行超预期降息显示货币政策对实体经济的支持。理财赎回风波基本结束，伴随着银行相继调降存款利率，存款向理财搬家的现象重现，理财规模重回扩张，一定程度上仍存在资产荒。从收益率来看，当前10年国债收益率2.66%，较2季度初下行19bp，当前3年期AA+城投债收益率3.06%，较2季度初下行18bp，当前3年期AAA二级资本债收益率3.02%，较2季度初下行24bp，高等级信用债和利率债收益率下行幅度更大，市场更加偏好高流动性债券。二季度央行公开市场无净投放，但6月13日，中国人民银行将公开市场7日逆回购利率由2%下降至1.9%，这是自去年9月份以来首次下降。银行间资金价格较去年四季度相比整体下行，R007均值2.16%，较上年四季度季度均值下行19bp。本产品主要配置固收类资产，债券部分以信用债为主，受益于2季度信用债和利率债收益率下行，通过杠杆策略和久期策略，债券净值增长表现较好；非标资产的融资主体以城建类国企为主，信用依然维持稳定，还本付息能力未受宏观环境影响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3季度，从基本面来看，无论从经济高频数据还是前瞻性数据来看，经济仍处于弱复苏态势，从票据利率看银行信贷投放相对偏弱，从30城地产销售面积看地产销售处于偏低水平，消费仍处于修复过程中，在没有经济强刺激政策出台前，基本面环境对债市仍偏暖；从政策面来看，6月央行超预期降准显示对银行间资金面市场的呵护，后续市场利率大概率围绕或低于政策利率波动，3季度降准降息的可能性仍存，短端债券收益率仍有下行空间。整体来说，经济弱复苏，货币政策保持相对宽松，债市流动性环境相对友好，理财规模重回扩张，债券收益率易下难上。我们预期3季度债券收益率整体小幅下行，策略上，保持一定杠杆比例，适时把握利率债的阶段性交易机会。非标资产方面三季度继续保持信用环境稳定，投资节奏稳定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0.28%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0.36%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0.67%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26.59%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33.44%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47.78%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47.78%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17.75%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17.75%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7.60%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22上虞国投10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102,833,552.05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17.01%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22海宁尖山新区03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99,825,014.71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16.51%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22大江东城基01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92,594,259.86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15.32%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苏银优1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56,886,500.00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9.41%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交行优1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52,780,000.00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8.73%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17西安高新MTN002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31,133,213.11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5.15%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21淮安城资MTN003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31,060,684.93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5.14%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21梅州01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20,515,726.03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3.39%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22锡东科技PPN001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20,338,794.52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3.36%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22郑新02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20,127,118.04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3.33%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11,011,572.64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1.82%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绍兴市上虞区国有资本投资运营有限公司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22上虞国投10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20231126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102,833,552.05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海宁市尖山新区开发有限公司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22海宁尖山新区03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20231129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99,825,014.71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杭州大江东城市基础设施建设有限公司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22大江东城基01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20231128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92,594,259.86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591,886,568.00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591,886,568.00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21崇德投资PPN001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债券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卖出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42,031,852.05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400,000.00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杭银理财幸福99丰裕固收22069期理财计划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3301040160015309811-5122069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