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丰裕固收22060期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2022年10月18日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1,042,552,579.41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115.97%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1,042,552,579.41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1,024,555,035.00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101,793,517.00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705,198,158.44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164,474,066.59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71,086,837.38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39.89%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54.88%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17.60%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292,650,676.04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113,655,783.70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105,972,233.84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22泰交通MTN001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50,552,622.95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21即商02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31,734,071.13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21渝空港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31,613,609.48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20金义01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31,475,574.28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G20嵊交1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31,020,673.97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22栖霞科技MTN001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30,143,401.64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19舟山蓬莱债01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25,652,287.59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163,157,382.47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15.65%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292,650,676.04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惠州仲恺城市发展集团有限公司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105,972,233.84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杭州临江投资发展有限公司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113,655,783.70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1,024,555,035.00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1,024,555,035.00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22奉化城投PPN002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10,119,751.78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杭银理财有限责任公司幸福99杭银理财丰裕固收第22060期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3301040160015309811-5122060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