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丰裕固收23031期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丰裕固收23031期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FYG23031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Z7002223000035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2023年2月14日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2024年2月22日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1,787,521,285.10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137.27%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1,787,521,285.10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1,760,041,184.00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1.0156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1.0156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丰裕固收23031期B款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130,393,876.40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丰裕固收23031期C款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FYG23031C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1,405,869,237.79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251,258,170.91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丰裕固收23031期B款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丰裕固收23031期C款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本产品主要配置固收类资产，债券部分以信用债为主，受益于2季度信用债和利率债收益率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67.57%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67.57%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32.39%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32.39%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23上虞国投01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213,642,078.90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23金开国控02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127,134,083.33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23南京滨江07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121,587,224.26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23溧水城建PPN003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111,368,446.59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23金海投资03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101,668,952.46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23广德国资03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98,658,249.98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22长寿开投MTN001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91,867,092.58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22建安投资PPN001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90,891,543.20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22沛县国资PPN001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90,828,508.85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21即商02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84,172,054.79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4.71%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660,880,393.25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36.97%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绍兴市上虞区国有资本投资运营有限公司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23上虞国投01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213,642,078.90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桐庐新城发展投资有限公司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23桐庐新城02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81,378,954.52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23金开国控02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127,134,083.33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广德市国有资产投资经营有限公司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23广德国资03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98,658,249.98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江苏金海投资有限公司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23金海投资03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101,668,952.46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扬州维扬发展投资有限公司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23扬州维扬01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50,757,186.07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南京滨江投资发展有限公司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23南京滨江07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121,587,224.26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1,760,041,184.00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1,760,041,184.00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杭银理财幸福99丰裕固收23031期理财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3301040160015309811-5123031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