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丰裕固收22067期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2024年11月28日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403,507,429.85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101.51%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403,507,429.85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401,483,000.00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丰裕固收22067期A款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FYG22067A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382,165,761.22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21,341,668.63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丰裕固收22067期A款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42.22%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47.65%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5.48%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46.75%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47.65%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118,100,288.05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52,811,866.03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21惠山高科PPN002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30,959,301.37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30,540,863.01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24,278,270.14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21嘉兴创意PPN001(项目收益)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20,535,369.86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21德财03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20,280,761.64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21新集01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20,227,369.86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22宜兴环保MTN001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20,065,024.66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20,050,164.38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4.97%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5,005,726.05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1.24%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118,100,288.05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52,811,866.03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24,278,270.14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401,483,000.00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401,483,000.00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23嵊州城北01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24,000,000.00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24,000,000.00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