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2023年2月21日）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2023年2月21日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-0.3478%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-2.2270%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-1.9169%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5.8054%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6.1322%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6.3238%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-3.0188%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-1.2514%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-1.1124%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-1.0429%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-0.5214%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-0.3318%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5.5619%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5.5447%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5.9950%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-3.0644%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5.8619%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-2.4261%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-2.0602%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-2.9151%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-0.4352%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-0.0590%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2023年2月23日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F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2023-02-23T06:27:45Z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