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杭银理财幸福99零钱包开放式理财计划D款</w:t>
      </w:r>
      <w:r>
        <w:rPr>
          <w:rFonts w:ascii="宋体" w:hAnsi="宋体" w:eastAsia="宋体" w:cs="宋体"/>
          <w:b/>
          <w:color w:val="004EA2"/>
          <w:sz w:val="28"/>
        </w:rPr>
        <w:t>收益公告</w:t>
      </w:r>
    </w:p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b/>
          <w:bCs w:val="0"/>
          <w:color w:val="004EA2"/>
          <w:kern w:val="2"/>
          <w:sz w:val="28"/>
          <w:szCs w:val="28"/>
        </w:rPr>
        <w:t>（产品代码：</w:t>
      </w:r>
      <w:r>
        <w:rPr>
          <w:rFonts w:ascii="宋体" w:hAnsi="宋体" w:eastAsia="宋体" w:cs="宋体"/>
          <w:b/>
          <w:color w:val="004EA2"/>
          <w:sz w:val="28"/>
        </w:rPr>
        <w:t>LQB2001D）</w:t>
      </w:r>
    </w:p>
    <w:tbl>
      <w:tblPr>
        <w:tblStyle w:val="9"/>
        <w:tblW w:w="8028" w:type="dxa"/>
        <w:jc w:val="center"/>
        <w:tblInd w:w="-204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088"/>
        <w:gridCol w:w="1997"/>
        <w:gridCol w:w="206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收益率日期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日年化收益率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七日年化收益率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1.8887%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1.8664%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0.4197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0.5663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1.9068%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0.7748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1.8869%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1.8729%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0.3567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0.3638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0.4855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0.5877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0.8233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1.7128%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1.7357%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1.6821%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1.7867%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1.8330%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1.9598%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1.8541%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1.8411%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1.8317%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1.8145%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1.8300%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1.9190%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1.9658%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2.0188%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2.9120%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2.9243%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2.8172%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2.6723%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2.5496%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1.3462%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1.3183%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1.4782%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1.5651%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1.9959%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2.0081%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2.2866%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1.9808%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2.0474%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2.1419%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2.1512%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2.1693%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2.1956%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2.2083%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2.0680%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2.2737%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2.3531%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2022-08-31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2.1760%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0.5898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8"/>
        <w:jc w:val="right"/>
        <w:outlineLvl w:val="0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t>杭银理财有限责任公司</w:t>
      </w:r>
    </w:p>
    <w:p>
      <w:pPr>
        <w:pStyle w:val="8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2022年12月13日</w:t>
      </w:r>
    </w:p>
    <w:p/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36B805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2022-12-13T01:43:32Z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