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48"/>
        </w:rPr>
      </w:pPr>
    </w:p>
    <w:p>
      <w:pPr>
        <w:rPr>
          <w:sz w:val="48"/>
        </w:rPr>
      </w:pPr>
    </w:p>
    <w:p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hint="eastAsia" w:ascii="宋体" w:hAnsi="宋体"/>
          <w:b/>
          <w:bCs/>
          <w:sz w:val="48"/>
          <w:szCs w:val="30"/>
        </w:rPr>
        <w:t>镇海农商银行丰收喜悦1号</w:t>
      </w:r>
      <w:r>
        <w:rPr>
          <w:rFonts w:hint="eastAsia" w:ascii="宋体" w:hAnsi="宋体"/>
          <w:b/>
          <w:bCs/>
          <w:sz w:val="48"/>
          <w:szCs w:val="30"/>
          <w:lang w:val="en-US" w:eastAsia="zh-CN"/>
        </w:rPr>
        <w:t>3</w:t>
      </w:r>
      <w:r>
        <w:rPr>
          <w:rFonts w:hint="eastAsia" w:ascii="宋体" w:hAnsi="宋体"/>
          <w:b/>
          <w:bCs/>
          <w:sz w:val="48"/>
          <w:szCs w:val="30"/>
        </w:rPr>
        <w:t>期人民币开放式净值型理财产品</w:t>
      </w:r>
    </w:p>
    <w:p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/>
          <w:b/>
          <w:bCs/>
          <w:sz w:val="48"/>
          <w:szCs w:val="30"/>
        </w:rPr>
        <w:t>202</w:t>
      </w:r>
      <w:r>
        <w:rPr>
          <w:rFonts w:hint="eastAsia" w:ascii="宋体" w:hAnsi="宋体"/>
          <w:b/>
          <w:bCs/>
          <w:sz w:val="48"/>
          <w:szCs w:val="30"/>
          <w:lang w:val="en-US" w:eastAsia="zh-CN"/>
        </w:rPr>
        <w:t>3</w:t>
      </w:r>
      <w:r>
        <w:rPr>
          <w:rFonts w:ascii="宋体" w:hAnsi="宋体"/>
          <w:b/>
          <w:bCs/>
          <w:sz w:val="48"/>
          <w:szCs w:val="30"/>
        </w:rPr>
        <w:t>年第</w:t>
      </w:r>
      <w:r>
        <w:rPr>
          <w:rFonts w:hint="eastAsia" w:ascii="宋体" w:hAnsi="宋体"/>
          <w:b/>
          <w:bCs/>
          <w:sz w:val="48"/>
          <w:szCs w:val="30"/>
          <w:lang w:val="en-US" w:eastAsia="zh-CN"/>
        </w:rPr>
        <w:t>3</w:t>
      </w:r>
      <w:r>
        <w:rPr>
          <w:rFonts w:ascii="宋体" w:hAnsi="宋体"/>
          <w:b/>
          <w:bCs/>
          <w:sz w:val="48"/>
          <w:szCs w:val="30"/>
        </w:rPr>
        <w:t>季度</w:t>
      </w:r>
      <w:r>
        <w:rPr>
          <w:rFonts w:hint="eastAsia" w:ascii="宋体" w:hAnsi="宋体"/>
          <w:b/>
          <w:bCs/>
          <w:sz w:val="48"/>
          <w:szCs w:val="30"/>
        </w:rPr>
        <w:t>报告</w:t>
      </w:r>
    </w:p>
    <w:p>
      <w:pPr>
        <w:jc w:val="center"/>
        <w:rPr>
          <w:rFonts w:ascii="宋体" w:hAnsi="宋体"/>
          <w:b/>
          <w:bCs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sz w:val="28"/>
          <w:szCs w:val="30"/>
        </w:rPr>
      </w:pPr>
    </w:p>
    <w:p>
      <w:pPr>
        <w:ind w:firstLine="1687" w:firstLineChars="600"/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产品管理人：宁波镇海农村商业银行股份有限公司</w:t>
      </w:r>
    </w:p>
    <w:p>
      <w:pPr>
        <w:ind w:firstLine="1687" w:firstLineChars="600"/>
        <w:jc w:val="left"/>
        <w:rPr>
          <w:rFonts w:ascii="宋体" w:hAnsi="宋体"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产品托管人：</w:t>
      </w:r>
      <w:r>
        <w:rPr>
          <w:rFonts w:hint="eastAsia" w:ascii="宋体" w:hAnsi="宋体"/>
          <w:b/>
          <w:bCs/>
          <w:sz w:val="28"/>
          <w:szCs w:val="30"/>
        </w:rPr>
        <w:t>招商银行股份有限公司杭州分行</w:t>
      </w:r>
    </w:p>
    <w:p>
      <w:pPr>
        <w:ind w:firstLine="1680" w:firstLineChars="600"/>
        <w:jc w:val="left"/>
        <w:rPr>
          <w:rFonts w:ascii="宋体" w:hAnsi="宋体"/>
          <w:sz w:val="28"/>
          <w:szCs w:val="30"/>
        </w:rPr>
      </w:pPr>
    </w:p>
    <w:p>
      <w:pPr>
        <w:ind w:firstLine="1680" w:firstLineChars="600"/>
        <w:jc w:val="left"/>
        <w:rPr>
          <w:rFonts w:ascii="宋体" w:hAnsi="宋体"/>
          <w:sz w:val="28"/>
          <w:szCs w:val="30"/>
        </w:rPr>
      </w:pPr>
    </w:p>
    <w:p>
      <w:pPr>
        <w:ind w:firstLine="1680" w:firstLineChars="600"/>
        <w:jc w:val="left"/>
        <w:rPr>
          <w:rFonts w:ascii="宋体" w:hAnsi="宋体"/>
          <w:sz w:val="28"/>
          <w:szCs w:val="30"/>
        </w:rPr>
      </w:pPr>
    </w:p>
    <w:p>
      <w:pPr>
        <w:rPr>
          <w:rFonts w:ascii="宋体" w:hAnsi="宋体"/>
          <w:sz w:val="28"/>
          <w:szCs w:val="30"/>
        </w:rPr>
      </w:pPr>
    </w:p>
    <w:p>
      <w:pPr>
        <w:jc w:val="center"/>
        <w:rPr>
          <w:rFonts w:ascii="宋体" w:hAnsi="宋体"/>
          <w:b/>
          <w:bCs/>
          <w:sz w:val="28"/>
          <w:szCs w:val="30"/>
        </w:rPr>
      </w:pPr>
    </w:p>
    <w:p>
      <w:pPr>
        <w:jc w:val="center"/>
        <w:rPr>
          <w:rFonts w:ascii="宋体" w:hAnsi="宋体"/>
          <w:b/>
          <w:bCs/>
          <w:sz w:val="28"/>
          <w:szCs w:val="30"/>
        </w:rPr>
      </w:pPr>
      <w:r>
        <w:rPr>
          <w:rFonts w:hint="eastAsia" w:ascii="宋体" w:hAnsi="宋体"/>
          <w:b/>
          <w:bCs/>
          <w:sz w:val="28"/>
          <w:szCs w:val="30"/>
        </w:rPr>
        <w:t>重要提示</w:t>
      </w:r>
    </w:p>
    <w:p>
      <w:pPr>
        <w:spacing w:line="360" w:lineRule="auto"/>
        <w:ind w:right="-107" w:rightChars="-51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产品托管人</w:t>
      </w:r>
      <w:r>
        <w:rPr>
          <w:rFonts w:ascii="宋体" w:hAnsi="宋体"/>
          <w:szCs w:val="21"/>
        </w:rPr>
        <w:t>招商银行股份有限公司杭州分行</w:t>
      </w:r>
      <w:r>
        <w:rPr>
          <w:rFonts w:hint="eastAsia" w:ascii="宋体" w:hAnsi="宋体"/>
          <w:szCs w:val="21"/>
        </w:rPr>
        <w:t>根据《商业银行理财业务监督管理办法》规定，复核了本报告中的产品收益表现、主要财务指标、投资组合情况等内容，保证复核内容不存在虚假记载、误导性陈述或者重大遗漏。</w:t>
      </w:r>
    </w:p>
    <w:p>
      <w:pPr>
        <w:spacing w:line="360" w:lineRule="auto"/>
        <w:ind w:right="-107" w:rightChars="-51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产品管理人承诺以诚实信用、勤勉尽责的原则管理和运用理财资产，但不保证一定盈利。产品的过往业绩并不代表其未来表现。投资有风险，投资者在作出投资决策前应仔细阅读本产品的发行文件。</w:t>
      </w:r>
    </w:p>
    <w:p>
      <w:pPr>
        <w:spacing w:line="360" w:lineRule="auto"/>
        <w:ind w:right="-107" w:rightChars="-51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本报告中财务资料未经审计。</w:t>
      </w:r>
    </w:p>
    <w:p>
      <w:pPr>
        <w:spacing w:line="360" w:lineRule="auto"/>
        <w:ind w:right="-107" w:rightChars="-51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</w:t>
      </w:r>
      <w:r>
        <w:rPr>
          <w:rFonts w:ascii="宋体" w:hAnsi="宋体"/>
          <w:szCs w:val="21"/>
        </w:rPr>
        <w:t>报告期</w:t>
      </w:r>
      <w:r>
        <w:rPr>
          <w:rFonts w:hint="eastAsia" w:ascii="宋体" w:hAnsi="宋体"/>
          <w:szCs w:val="21"/>
        </w:rPr>
        <w:t>自2023-07-01起至2023-09-30</w:t>
      </w:r>
      <w:r>
        <w:rPr>
          <w:rFonts w:ascii="宋体" w:hAnsi="宋体"/>
          <w:szCs w:val="21"/>
        </w:rPr>
        <w:t>止。</w:t>
      </w:r>
    </w:p>
    <w:p>
      <w:pPr>
        <w:pStyle w:val="40"/>
      </w:pPr>
      <w:r>
        <w:rPr>
          <w:rFonts w:hint="eastAsia"/>
          <w:lang w:eastAsia="zh-CN"/>
        </w:rPr>
        <w:t>产品</w:t>
      </w:r>
      <w:r>
        <w:rPr>
          <w:rFonts w:hint="eastAsia"/>
        </w:rPr>
        <w:t>基本情况</w:t>
      </w:r>
      <w:r>
        <w:rPr>
          <w:rFonts w:hint="eastAsia"/>
          <w:lang w:eastAsia="zh-CN"/>
        </w:rPr>
        <w:t xml:space="preserve"> </w:t>
      </w:r>
    </w:p>
    <w:tbl>
      <w:tblPr>
        <w:tblStyle w:val="21"/>
        <w:tblW w:w="8865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镇海农商银行丰收喜悦1号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期人民币开放式净值型理财产品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产品登记编码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C3208422000045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ind w:right="-107" w:rightChars="-51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产品管理人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宁波镇海农村商业银行股份有限公司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产品托管人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招商银行股份有限公司杭州分行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产品运作方式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公募开放式净值型银行理财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产品成立日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-0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产品到期日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202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-05-</w:t>
            </w:r>
            <w:r>
              <w:rPr>
                <w:rFonts w:hint="eastAsia" w:ascii="宋体" w:hAnsi="宋体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3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报告期末产品份额总额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127,893,895.65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业绩比较基准（如有）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[1.5%-3.5%]/年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估值方法</w:t>
            </w:r>
          </w:p>
        </w:tc>
        <w:tc>
          <w:tcPr>
            <w:tcW w:w="5027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市值法</w:t>
            </w:r>
          </w:p>
        </w:tc>
      </w:tr>
    </w:tbl>
    <w:p>
      <w:pPr>
        <w:pStyle w:val="40"/>
        <w:rPr>
          <w:lang w:eastAsia="zh-CN"/>
        </w:rPr>
      </w:pPr>
      <w:r>
        <w:rPr>
          <w:rFonts w:hint="eastAsia"/>
        </w:rPr>
        <w:t>产品</w:t>
      </w:r>
      <w:r>
        <w:rPr>
          <w:rFonts w:hint="eastAsia"/>
          <w:lang w:eastAsia="zh-CN"/>
        </w:rPr>
        <w:t>收益</w:t>
      </w:r>
      <w:r>
        <w:rPr>
          <w:rFonts w:hint="eastAsia"/>
        </w:rPr>
        <w:t>表现</w:t>
      </w:r>
    </w:p>
    <w:tbl>
      <w:tblPr>
        <w:tblStyle w:val="21"/>
        <w:tblW w:w="8956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85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510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净值增长率（%）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8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当期（</w:t>
            </w:r>
            <w:r>
              <w:rPr>
                <w:rFonts w:ascii="宋体" w:hAnsi="宋体"/>
              </w:rPr>
              <w:t>2023-07-01</w:t>
            </w:r>
            <w:r>
              <w:rPr>
                <w:rFonts w:hint="eastAsia" w:ascii="宋体" w:hAnsi="宋体"/>
              </w:rPr>
              <w:t>至</w:t>
            </w:r>
            <w:r>
              <w:rPr>
                <w:rFonts w:ascii="宋体" w:hAnsi="宋体"/>
              </w:rPr>
              <w:t>2023-09-30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5103" w:type="dxa"/>
            <w:vAlign w:val="center"/>
          </w:tcPr>
          <w:p>
            <w:pPr>
              <w:jc w:val="right"/>
            </w:pPr>
            <w: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8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自产品成立日至今</w:t>
            </w:r>
          </w:p>
        </w:tc>
        <w:tc>
          <w:tcPr>
            <w:tcW w:w="5103" w:type="dxa"/>
            <w:vAlign w:val="center"/>
          </w:tcPr>
          <w:p>
            <w:pPr>
              <w:jc w:val="right"/>
            </w:pPr>
            <w:bookmarkStart w:id="0" w:name="OLE_LINK7"/>
            <w:bookmarkEnd w:id="0"/>
            <w:bookmarkStart w:id="1" w:name="OLE_LINK4"/>
            <w:bookmarkEnd w:id="1"/>
            <w:r>
              <w:rPr>
                <w:rFonts w:hint="eastAsia"/>
              </w:rPr>
              <w:t>1.01</w:t>
            </w:r>
          </w:p>
        </w:tc>
      </w:tr>
    </w:tbl>
    <w:p>
      <w:pPr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pStyle w:val="40"/>
      </w:pPr>
      <w:r>
        <w:rPr>
          <w:rFonts w:hint="eastAsia"/>
        </w:rPr>
        <w:t>主要财务指标</w:t>
      </w:r>
    </w:p>
    <w:p>
      <w:pPr>
        <w:jc w:val="right"/>
        <w:rPr>
          <w:rFonts w:ascii="宋体" w:hAnsi="宋体"/>
        </w:rPr>
      </w:pPr>
      <w:r>
        <w:rPr>
          <w:rFonts w:hint="eastAsia" w:ascii="宋体" w:hAnsi="宋体"/>
        </w:rPr>
        <w:t>金额单位：元</w:t>
      </w:r>
    </w:p>
    <w:tbl>
      <w:tblPr>
        <w:tblStyle w:val="21"/>
        <w:tblW w:w="8865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838" w:type="dxa"/>
            <w:shd w:val="clear" w:color="auto" w:fill="D9D9D9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5027" w:type="dxa"/>
            <w:shd w:val="clear" w:color="auto" w:fill="D9D9D9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2023-07-01</w:t>
            </w:r>
            <w:r>
              <w:rPr>
                <w:rFonts w:hint="eastAsia"/>
                <w:b/>
              </w:rPr>
              <w:t xml:space="preserve">至 </w:t>
            </w:r>
            <w:r>
              <w:rPr>
                <w:b/>
              </w:rPr>
              <w:t>2023-09-30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本期已实现收益</w:t>
            </w:r>
          </w:p>
        </w:tc>
        <w:tc>
          <w:tcPr>
            <w:tcW w:w="5027" w:type="dxa"/>
            <w:vAlign w:val="center"/>
          </w:tcPr>
          <w:p>
            <w:pPr>
              <w:jc w:val="right"/>
            </w:pPr>
            <w:r>
              <w:t>256,411.41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本期利润</w:t>
            </w:r>
          </w:p>
        </w:tc>
        <w:tc>
          <w:tcPr>
            <w:tcW w:w="5027" w:type="dxa"/>
            <w:vAlign w:val="center"/>
          </w:tcPr>
          <w:p>
            <w:pPr>
              <w:jc w:val="right"/>
            </w:pPr>
            <w:r>
              <w:t>751,568.66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3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期末产品资产净值</w:t>
            </w:r>
          </w:p>
        </w:tc>
        <w:tc>
          <w:tcPr>
            <w:tcW w:w="5027" w:type="dxa"/>
            <w:vAlign w:val="center"/>
          </w:tcPr>
          <w:p>
            <w:pPr>
              <w:jc w:val="right"/>
            </w:pPr>
            <w:r>
              <w:t>129,179,613.13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3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期末产品份额净值</w:t>
            </w:r>
          </w:p>
        </w:tc>
        <w:tc>
          <w:tcPr>
            <w:tcW w:w="5027" w:type="dxa"/>
            <w:vAlign w:val="center"/>
          </w:tcPr>
          <w:p>
            <w:pPr>
              <w:jc w:val="right"/>
            </w:pPr>
            <w:r>
              <w:t>1.010053</w:t>
            </w:r>
          </w:p>
        </w:tc>
      </w:tr>
    </w:tbl>
    <w:p>
      <w:pPr>
        <w:tabs>
          <w:tab w:val="left" w:pos="3135"/>
        </w:tabs>
        <w:ind w:left="420" w:leftChars="200"/>
      </w:pPr>
    </w:p>
    <w:p>
      <w:pPr>
        <w:pStyle w:val="40"/>
      </w:pPr>
      <w:r>
        <w:rPr>
          <w:rFonts w:hint="eastAsia"/>
        </w:rPr>
        <w:t>投资组合情况及</w:t>
      </w:r>
      <w:r>
        <w:t>流动性风险分析</w:t>
      </w:r>
    </w:p>
    <w:p>
      <w:pPr>
        <w:pStyle w:val="49"/>
        <w:keepNext/>
        <w:keepLines/>
        <w:numPr>
          <w:ilvl w:val="0"/>
          <w:numId w:val="2"/>
        </w:numPr>
        <w:spacing w:before="156" w:beforeLines="50" w:after="156" w:afterLines="50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 w:eastAsia="zh-CN"/>
        </w:rPr>
      </w:pPr>
    </w:p>
    <w:p>
      <w:pPr>
        <w:pStyle w:val="49"/>
        <w:keepNext/>
        <w:keepLines/>
        <w:numPr>
          <w:ilvl w:val="0"/>
          <w:numId w:val="2"/>
        </w:numPr>
        <w:spacing w:before="156" w:beforeLines="50" w:after="156" w:afterLines="50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 w:eastAsia="zh-CN"/>
        </w:rPr>
      </w:pPr>
    </w:p>
    <w:p>
      <w:pPr>
        <w:pStyle w:val="49"/>
        <w:keepNext/>
        <w:keepLines/>
        <w:numPr>
          <w:ilvl w:val="0"/>
          <w:numId w:val="2"/>
        </w:numPr>
        <w:spacing w:before="156" w:beforeLines="50" w:after="156" w:afterLines="50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 w:eastAsia="zh-CN"/>
        </w:rPr>
      </w:pPr>
    </w:p>
    <w:p>
      <w:pPr>
        <w:pStyle w:val="49"/>
        <w:keepNext/>
        <w:keepLines/>
        <w:numPr>
          <w:ilvl w:val="0"/>
          <w:numId w:val="2"/>
        </w:numPr>
        <w:spacing w:before="156" w:beforeLines="50" w:after="156" w:afterLines="50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 w:eastAsia="zh-CN"/>
        </w:rPr>
      </w:pPr>
    </w:p>
    <w:p>
      <w:pPr>
        <w:pStyle w:val="41"/>
        <w:spacing w:before="156" w:after="156"/>
      </w:pPr>
      <w:r>
        <w:rPr>
          <w:rFonts w:hint="eastAsia"/>
          <w:b w:val="0"/>
        </w:rPr>
        <w:t>期末资产组合情况</w:t>
      </w: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rFonts w:hint="eastAsia"/>
        </w:rPr>
        <w:t>金额单位：元</w:t>
      </w:r>
    </w:p>
    <w:tbl>
      <w:tblPr>
        <w:tblStyle w:val="21"/>
        <w:tblW w:w="8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447"/>
        <w:gridCol w:w="1697"/>
        <w:gridCol w:w="1749"/>
        <w:gridCol w:w="165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11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47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3446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  <w:tc>
          <w:tcPr>
            <w:tcW w:w="3358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11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7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</w:t>
            </w:r>
          </w:p>
        </w:tc>
        <w:tc>
          <w:tcPr>
            <w:tcW w:w="174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占产品总资产的比例（%）</w:t>
            </w:r>
          </w:p>
        </w:tc>
        <w:tc>
          <w:tcPr>
            <w:tcW w:w="165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</w:t>
            </w:r>
          </w:p>
        </w:tc>
        <w:tc>
          <w:tcPr>
            <w:tcW w:w="1705" w:type="dxa"/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占产品总资产的比例（%）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权益投资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其中：普通股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存托凭证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53" w:type="dxa"/>
            <w:vAlign w:val="center"/>
          </w:tcPr>
          <w:p>
            <w:pPr>
              <w:jc w:val="right"/>
            </w:pPr>
          </w:p>
        </w:tc>
        <w:tc>
          <w:tcPr>
            <w:tcW w:w="1705" w:type="dxa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基金投资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固定收益投资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80,637,220.75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62.38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其中：债券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77,990,555.16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60.34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资产支持证券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2,646,665.60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金融衍生品投资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其中：远期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53" w:type="dxa"/>
            <w:vAlign w:val="center"/>
          </w:tcPr>
          <w:p>
            <w:pPr>
              <w:jc w:val="right"/>
            </w:pPr>
          </w:p>
        </w:tc>
        <w:tc>
          <w:tcPr>
            <w:tcW w:w="1705" w:type="dxa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期货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53" w:type="dxa"/>
            <w:vAlign w:val="center"/>
          </w:tcPr>
          <w:p>
            <w:pPr>
              <w:jc w:val="right"/>
            </w:pPr>
          </w:p>
        </w:tc>
        <w:tc>
          <w:tcPr>
            <w:tcW w:w="1705" w:type="dxa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期权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权证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53" w:type="dxa"/>
            <w:vAlign w:val="center"/>
          </w:tcPr>
          <w:p>
            <w:pPr>
              <w:jc w:val="right"/>
            </w:pPr>
          </w:p>
        </w:tc>
        <w:tc>
          <w:tcPr>
            <w:tcW w:w="1705" w:type="dxa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48,576,266.20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37.58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其中：买断式回购的买入返售金融资产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货币市场工具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53" w:type="dxa"/>
            <w:vAlign w:val="center"/>
          </w:tcPr>
          <w:p>
            <w:pPr>
              <w:jc w:val="right"/>
            </w:pPr>
          </w:p>
        </w:tc>
        <w:tc>
          <w:tcPr>
            <w:tcW w:w="1705" w:type="dxa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银行存款和结算备付金合计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136.30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303,794.07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拆放同业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产品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129,258,985.23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100.00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right"/>
            </w:pPr>
            <w:r>
              <w:t>0.00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t>231.49</w:t>
            </w:r>
          </w:p>
        </w:tc>
        <w:tc>
          <w:tcPr>
            <w:tcW w:w="1705" w:type="dxa"/>
            <w:vAlign w:val="center"/>
          </w:tcPr>
          <w:p>
            <w:pPr>
              <w:jc w:val="right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shd w:val="clear" w:color="auto" w:fill="auto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shd w:val="clear" w:color="auto" w:fill="auto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pPr>
              <w:jc w:val="right"/>
            </w:pPr>
            <w:r>
              <w:t>129,259,121.53</w:t>
            </w:r>
          </w:p>
        </w:tc>
        <w:tc>
          <w:tcPr>
            <w:tcW w:w="1749" w:type="dxa"/>
            <w:shd w:val="clear" w:color="auto" w:fill="auto"/>
            <w:vAlign w:val="top"/>
          </w:tcPr>
          <w:p>
            <w:pPr>
              <w:jc w:val="right"/>
            </w:pPr>
            <w:r>
              <w:t>100.00</w:t>
            </w:r>
          </w:p>
        </w:tc>
        <w:tc>
          <w:tcPr>
            <w:tcW w:w="1653" w:type="dxa"/>
            <w:vAlign w:val="top"/>
          </w:tcPr>
          <w:p>
            <w:pPr>
              <w:jc w:val="right"/>
            </w:pPr>
            <w:r>
              <w:t>129,517,512.51</w:t>
            </w:r>
          </w:p>
        </w:tc>
        <w:tc>
          <w:tcPr>
            <w:tcW w:w="1705" w:type="dxa"/>
            <w:vAlign w:val="top"/>
          </w:tcPr>
          <w:p>
            <w:pPr>
              <w:jc w:val="right"/>
            </w:pPr>
            <w:r>
              <w:t>100.20</w:t>
            </w:r>
          </w:p>
        </w:tc>
      </w:tr>
    </w:tbl>
    <w:p>
      <w:pPr>
        <w:ind w:left="420" w:leftChars="200"/>
        <w:jc w:val="left"/>
        <w:rPr>
          <w:rFonts w:ascii="宋体" w:hAnsi="宋体"/>
          <w:sz w:val="24"/>
        </w:rPr>
      </w:pPr>
    </w:p>
    <w:p>
      <w:pPr>
        <w:ind w:left="420" w:left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Cs w:val="21"/>
        </w:rPr>
        <w:t>注1：间接投资占产品总资产的比例（%）为占本产品总资产的比例（%）。</w:t>
      </w:r>
    </w:p>
    <w:p>
      <w:pPr>
        <w:pStyle w:val="41"/>
        <w:spacing w:before="156" w:after="156"/>
        <w:rPr>
          <w:b w:val="0"/>
        </w:rPr>
      </w:pPr>
      <w:r>
        <w:rPr>
          <w:rFonts w:hint="eastAsia"/>
          <w:b w:val="0"/>
        </w:rPr>
        <w:t>投资</w:t>
      </w:r>
      <w:r>
        <w:rPr>
          <w:b w:val="0"/>
        </w:rPr>
        <w:t>组合流动</w:t>
      </w:r>
      <w:r>
        <w:rPr>
          <w:rFonts w:hint="eastAsia"/>
          <w:b w:val="0"/>
          <w:lang w:eastAsia="zh-CN"/>
        </w:rPr>
        <w:t>性</w:t>
      </w:r>
      <w:r>
        <w:rPr>
          <w:b w:val="0"/>
        </w:rPr>
        <w:t>风险分析</w:t>
      </w: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Cs w:val="21"/>
        </w:rPr>
        <w:t>注：由管理人自行补充</w:t>
      </w:r>
    </w:p>
    <w:p>
      <w:pPr>
        <w:widowControl/>
        <w:jc w:val="left"/>
        <w:rPr>
          <w:rFonts w:ascii="宋体" w:hAnsi="宋体"/>
          <w:sz w:val="24"/>
        </w:rPr>
      </w:pPr>
    </w:p>
    <w:p>
      <w:pPr>
        <w:pStyle w:val="41"/>
        <w:spacing w:before="156" w:after="156"/>
        <w:rPr>
          <w:b w:val="0"/>
        </w:rPr>
      </w:pPr>
      <w:r>
        <w:rPr>
          <w:rFonts w:hint="eastAsia"/>
          <w:b w:val="0"/>
        </w:rPr>
        <w:t>报告期末占资产净值比例大小排序的前十项资产</w:t>
      </w:r>
      <w:r>
        <w:rPr>
          <w:b w:val="0"/>
        </w:rPr>
        <w:t>明细</w:t>
      </w:r>
    </w:p>
    <w:p>
      <w:pPr>
        <w:jc w:val="right"/>
        <w:rPr>
          <w:rFonts w:ascii="宋体" w:hAnsi="宋体"/>
        </w:rPr>
      </w:pPr>
      <w:r>
        <w:rPr>
          <w:rFonts w:hint="eastAsia" w:ascii="宋体" w:hAnsi="宋体"/>
        </w:rPr>
        <w:t>金额单位：元</w:t>
      </w:r>
    </w:p>
    <w:tbl>
      <w:tblPr>
        <w:tblStyle w:val="2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59"/>
        <w:gridCol w:w="2693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7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3159" w:type="dxa"/>
            <w:shd w:val="clear" w:color="auto" w:fill="D9D9D9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资产名称</w:t>
            </w:r>
          </w:p>
        </w:tc>
        <w:tc>
          <w:tcPr>
            <w:tcW w:w="2693" w:type="dxa"/>
            <w:shd w:val="clear" w:color="auto" w:fill="D9D9D9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</w:t>
            </w:r>
          </w:p>
        </w:tc>
        <w:tc>
          <w:tcPr>
            <w:tcW w:w="2431" w:type="dxa"/>
            <w:shd w:val="clear" w:color="auto" w:fill="D9D9D9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占产品资产净值比例（%）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中信证券丰收信乐1号集合资产管理计划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right"/>
            </w:pPr>
            <w:r>
              <w:t>129,258,985.23</w:t>
            </w: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jc w:val="right"/>
            </w:pPr>
            <w:r>
              <w:t>100.06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ind w:left="424" w:leftChars="202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注：前十项资产明细仅包含证券投资、场外投资，不包含银行活期存款、存出保证金、清算备付金等资产。</w:t>
      </w:r>
    </w:p>
    <w:p>
      <w:pPr>
        <w:pStyle w:val="41"/>
        <w:spacing w:before="156" w:after="156"/>
        <w:rPr>
          <w:b w:val="0"/>
        </w:rPr>
      </w:pPr>
      <w:r>
        <w:rPr>
          <w:rFonts w:hint="eastAsia"/>
          <w:b w:val="0"/>
        </w:rPr>
        <w:t>报告期末占资产净值比例大小排序的前十项资产明细（穿透后）</w:t>
      </w:r>
    </w:p>
    <w:p>
      <w:pPr>
        <w:spacing w:before="100" w:beforeAutospacing="1" w:after="100" w:afterAutospacing="1"/>
        <w:jc w:val="right"/>
      </w:pPr>
      <w:r>
        <w:rPr>
          <w:rFonts w:hint="eastAsia"/>
        </w:rPr>
        <w:t>金额单位：元</w:t>
      </w:r>
    </w:p>
    <w:tbl>
      <w:tblPr>
        <w:tblStyle w:val="21"/>
        <w:tblW w:w="90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912"/>
        <w:gridCol w:w="2501"/>
        <w:gridCol w:w="2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</w:pPr>
            <w:r>
              <w:rPr>
                <w:rFonts w:hint="eastAsia"/>
                <w:b/>
                <w:bCs/>
              </w:rPr>
              <w:t>资产名称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占产品资产净值比例（%）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R014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35,466,990.02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27.46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19国开08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8,796,203.20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6.81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R019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8,542,872.32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6.61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21临平Y3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5,371,206.80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4.16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19嵊州03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5,190,129.50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4.02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R011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4,324,320.74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21诸交G1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3,498,179.69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2.71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21建兴01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2,681,694.34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19晋佳01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2,669,408.63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2.07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0"/>
              </w:rPr>
            </w:pPr>
            <w:r>
              <w:rPr>
                <w:szCs w:val="21"/>
              </w:rPr>
              <w:t>23金建D1</w:t>
            </w:r>
            <w:bookmarkStart w:id="2" w:name="_GoBack"/>
            <w:bookmarkEnd w:id="2"/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2,648,783.21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rPr>
                <w:rFonts w:eastAsia="Times New Roman"/>
                <w:sz w:val="20"/>
              </w:rPr>
            </w:pPr>
            <w:r>
              <w:t>2.05</w:t>
            </w:r>
          </w:p>
        </w:tc>
      </w:tr>
    </w:tbl>
    <w:p>
      <w:pPr>
        <w:spacing w:before="100" w:beforeAutospacing="1" w:after="100" w:afterAutospacing="1"/>
      </w:pPr>
      <w:r>
        <w:rPr>
          <w:rFonts w:hint="eastAsia"/>
        </w:rPr>
        <w:t>注：前十项资产明细仅包含证券投资、场外投资，不包含银行活期存款、存出保证金、清算备付金等资产。</w:t>
      </w:r>
    </w:p>
    <w:p>
      <w:pPr>
        <w:pStyle w:val="40"/>
      </w:pPr>
      <w:r>
        <w:t>托管人报告</w:t>
      </w:r>
    </w:p>
    <w:p>
      <w:pPr>
        <w:spacing w:line="360" w:lineRule="auto"/>
        <w:ind w:right="-107" w:rightChars="-51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招商银行具备完善的公司治理结构、内部稽核监控制度和风险控制制度，我行在履行托管职责中，严格遵守有关法律法规、托管协议的规定，尽职尽责地履行托管义务并安全保管托管资产。</w:t>
      </w: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宁波镇海农村商业银行股份有限公司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2023-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ascii="宋体" w:hAnsi="宋体"/>
          <w:sz w:val="28"/>
          <w:szCs w:val="28"/>
        </w:rPr>
        <w:t>-1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 xml:space="preserve">                   </w:t>
      </w:r>
    </w:p>
    <w:sectPr>
      <w:footerReference r:id="rId3" w:type="default"/>
      <w:footerReference r:id="rId4" w:type="even"/>
      <w:pgSz w:w="11906" w:h="16838"/>
      <w:pgMar w:top="1440" w:right="1531" w:bottom="1134" w:left="1531" w:header="851" w:footer="992" w:gutter="0"/>
      <w:pgNumType w:fmt="decimal" w:start="1" w:chapSep="hyphen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8"/>
      </w:rPr>
    </w:pPr>
    <w:r>
      <w:rPr>
        <w:rStyle w:val="18"/>
        <w:rFonts w:hint="eastAsia"/>
      </w:rPr>
      <w:t xml:space="preserve"> </w:t>
    </w:r>
  </w:p>
  <w:p>
    <w:pPr>
      <w:pStyle w:val="11"/>
      <w:ind w:right="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3EE"/>
    <w:multiLevelType w:val="multilevel"/>
    <w:tmpl w:val="547D73E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41"/>
      <w:suff w:val="space"/>
      <w:lvlText w:val="%1.%2"/>
      <w:lvlJc w:val="left"/>
      <w:pPr>
        <w:ind w:left="454" w:hanging="454"/>
      </w:pPr>
      <w:rPr>
        <w:rFonts w:hint="eastAsia"/>
      </w:rPr>
    </w:lvl>
    <w:lvl w:ilvl="2" w:tentative="0">
      <w:start w:val="1"/>
      <w:numFmt w:val="decimal"/>
      <w:pStyle w:val="42"/>
      <w:suff w:val="space"/>
      <w:lvlText w:val="%1.%2.%3"/>
      <w:lvlJc w:val="left"/>
      <w:pPr>
        <w:ind w:left="1050" w:hanging="624"/>
      </w:pPr>
      <w:rPr>
        <w:rFonts w:hint="eastAsia"/>
      </w:rPr>
    </w:lvl>
    <w:lvl w:ilvl="3" w:tentative="0">
      <w:start w:val="1"/>
      <w:numFmt w:val="decimal"/>
      <w:pStyle w:val="43"/>
      <w:suff w:val="space"/>
      <w:lvlText w:val="%1.%2.%3.%4"/>
      <w:lvlJc w:val="left"/>
      <w:pPr>
        <w:ind w:left="794" w:hanging="794"/>
      </w:pPr>
      <w:rPr>
        <w:rFonts w:hint="eastAsia"/>
      </w:rPr>
    </w:lvl>
    <w:lvl w:ilvl="4" w:tentative="0">
      <w:start w:val="1"/>
      <w:numFmt w:val="decimal"/>
      <w:pStyle w:val="44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 w:tentative="0">
      <w:start w:val="1"/>
      <w:numFmt w:val="decimal"/>
      <w:pStyle w:val="45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E1B1D2A"/>
    <w:multiLevelType w:val="multilevel"/>
    <w:tmpl w:val="7E1B1D2A"/>
    <w:lvl w:ilvl="0" w:tentative="0">
      <w:start w:val="1"/>
      <w:numFmt w:val="decimal"/>
      <w:pStyle w:val="40"/>
      <w:lvlText w:val="%1、"/>
      <w:lvlJc w:val="left"/>
      <w:pPr>
        <w:ind w:left="420" w:hanging="420"/>
      </w:pPr>
      <w:rPr>
        <w:rFonts w:hint="eastAsia"/>
        <w:spacing w:val="-2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A36"/>
    <w:rsid w:val="00011E30"/>
    <w:rsid w:val="00011E76"/>
    <w:rsid w:val="000167A6"/>
    <w:rsid w:val="00017B7D"/>
    <w:rsid w:val="000224FE"/>
    <w:rsid w:val="00024803"/>
    <w:rsid w:val="00024FA2"/>
    <w:rsid w:val="00025E0C"/>
    <w:rsid w:val="0002761E"/>
    <w:rsid w:val="00027C34"/>
    <w:rsid w:val="00035197"/>
    <w:rsid w:val="00036749"/>
    <w:rsid w:val="00036CDC"/>
    <w:rsid w:val="00037456"/>
    <w:rsid w:val="0003799B"/>
    <w:rsid w:val="00047F36"/>
    <w:rsid w:val="00055BE3"/>
    <w:rsid w:val="0006004E"/>
    <w:rsid w:val="0006022E"/>
    <w:rsid w:val="00062D58"/>
    <w:rsid w:val="000666E4"/>
    <w:rsid w:val="000739FE"/>
    <w:rsid w:val="00074396"/>
    <w:rsid w:val="000745C5"/>
    <w:rsid w:val="00074778"/>
    <w:rsid w:val="000811DB"/>
    <w:rsid w:val="00081814"/>
    <w:rsid w:val="000825DB"/>
    <w:rsid w:val="00083139"/>
    <w:rsid w:val="00084444"/>
    <w:rsid w:val="00091668"/>
    <w:rsid w:val="000954BC"/>
    <w:rsid w:val="000957D7"/>
    <w:rsid w:val="00096252"/>
    <w:rsid w:val="000A0247"/>
    <w:rsid w:val="000A1C35"/>
    <w:rsid w:val="000B049B"/>
    <w:rsid w:val="000B12F7"/>
    <w:rsid w:val="000B65EC"/>
    <w:rsid w:val="000C0357"/>
    <w:rsid w:val="000C13BD"/>
    <w:rsid w:val="000C5B47"/>
    <w:rsid w:val="000D078C"/>
    <w:rsid w:val="000D4CEA"/>
    <w:rsid w:val="000D5DDE"/>
    <w:rsid w:val="000E103E"/>
    <w:rsid w:val="000E2280"/>
    <w:rsid w:val="000E5BF4"/>
    <w:rsid w:val="000E7303"/>
    <w:rsid w:val="000E7594"/>
    <w:rsid w:val="000E7EE4"/>
    <w:rsid w:val="000F1CA3"/>
    <w:rsid w:val="000F1EB8"/>
    <w:rsid w:val="000F79B4"/>
    <w:rsid w:val="001003A8"/>
    <w:rsid w:val="001178EF"/>
    <w:rsid w:val="00123DCF"/>
    <w:rsid w:val="001241D2"/>
    <w:rsid w:val="00127EE5"/>
    <w:rsid w:val="00130058"/>
    <w:rsid w:val="001304CE"/>
    <w:rsid w:val="00130B97"/>
    <w:rsid w:val="00131F63"/>
    <w:rsid w:val="001321D3"/>
    <w:rsid w:val="001367E6"/>
    <w:rsid w:val="0013763A"/>
    <w:rsid w:val="00137F13"/>
    <w:rsid w:val="00142BF7"/>
    <w:rsid w:val="001438D5"/>
    <w:rsid w:val="001505C2"/>
    <w:rsid w:val="0015110C"/>
    <w:rsid w:val="0015418C"/>
    <w:rsid w:val="001546E3"/>
    <w:rsid w:val="00156CE7"/>
    <w:rsid w:val="001634F8"/>
    <w:rsid w:val="00172A27"/>
    <w:rsid w:val="00175535"/>
    <w:rsid w:val="00182115"/>
    <w:rsid w:val="0019201F"/>
    <w:rsid w:val="00193840"/>
    <w:rsid w:val="00196688"/>
    <w:rsid w:val="001A6A60"/>
    <w:rsid w:val="001A6DCE"/>
    <w:rsid w:val="001B0D81"/>
    <w:rsid w:val="001B2258"/>
    <w:rsid w:val="001B3575"/>
    <w:rsid w:val="001B43F0"/>
    <w:rsid w:val="001C4ACD"/>
    <w:rsid w:val="001C5999"/>
    <w:rsid w:val="001D364E"/>
    <w:rsid w:val="001E12D4"/>
    <w:rsid w:val="001E1A37"/>
    <w:rsid w:val="001E27AF"/>
    <w:rsid w:val="001E2A08"/>
    <w:rsid w:val="001E4B7A"/>
    <w:rsid w:val="001E7354"/>
    <w:rsid w:val="001E73F7"/>
    <w:rsid w:val="001E7E3E"/>
    <w:rsid w:val="001F28F0"/>
    <w:rsid w:val="001F4ADC"/>
    <w:rsid w:val="001F5BAE"/>
    <w:rsid w:val="001F7D68"/>
    <w:rsid w:val="00203F6A"/>
    <w:rsid w:val="00210223"/>
    <w:rsid w:val="0021036E"/>
    <w:rsid w:val="00212735"/>
    <w:rsid w:val="00212AC6"/>
    <w:rsid w:val="00217B81"/>
    <w:rsid w:val="00222DFB"/>
    <w:rsid w:val="00226962"/>
    <w:rsid w:val="00226D1D"/>
    <w:rsid w:val="00227C89"/>
    <w:rsid w:val="0024340D"/>
    <w:rsid w:val="00246E06"/>
    <w:rsid w:val="002520E6"/>
    <w:rsid w:val="00254241"/>
    <w:rsid w:val="002543ED"/>
    <w:rsid w:val="002550F8"/>
    <w:rsid w:val="00256F99"/>
    <w:rsid w:val="00261703"/>
    <w:rsid w:val="00265F21"/>
    <w:rsid w:val="002709E9"/>
    <w:rsid w:val="0027180C"/>
    <w:rsid w:val="00285198"/>
    <w:rsid w:val="0028673C"/>
    <w:rsid w:val="00291837"/>
    <w:rsid w:val="00293CED"/>
    <w:rsid w:val="002A1060"/>
    <w:rsid w:val="002A5581"/>
    <w:rsid w:val="002A6967"/>
    <w:rsid w:val="002B18D0"/>
    <w:rsid w:val="002B1BF7"/>
    <w:rsid w:val="002B2425"/>
    <w:rsid w:val="002B5C75"/>
    <w:rsid w:val="002B6AB0"/>
    <w:rsid w:val="002B6D92"/>
    <w:rsid w:val="002C0D52"/>
    <w:rsid w:val="002D2E99"/>
    <w:rsid w:val="002D3143"/>
    <w:rsid w:val="002D50E0"/>
    <w:rsid w:val="002D70F8"/>
    <w:rsid w:val="002E15C2"/>
    <w:rsid w:val="002E2A8D"/>
    <w:rsid w:val="002E366D"/>
    <w:rsid w:val="002E37D7"/>
    <w:rsid w:val="002E6930"/>
    <w:rsid w:val="002F1904"/>
    <w:rsid w:val="002F1EBF"/>
    <w:rsid w:val="002F244E"/>
    <w:rsid w:val="002F2A39"/>
    <w:rsid w:val="002F73B7"/>
    <w:rsid w:val="003017B8"/>
    <w:rsid w:val="00302E0B"/>
    <w:rsid w:val="0030728E"/>
    <w:rsid w:val="003140F2"/>
    <w:rsid w:val="003170E3"/>
    <w:rsid w:val="003176DF"/>
    <w:rsid w:val="003217E4"/>
    <w:rsid w:val="003245FC"/>
    <w:rsid w:val="003350C8"/>
    <w:rsid w:val="00336953"/>
    <w:rsid w:val="0034174F"/>
    <w:rsid w:val="00347E59"/>
    <w:rsid w:val="0035009E"/>
    <w:rsid w:val="00351099"/>
    <w:rsid w:val="00352670"/>
    <w:rsid w:val="0035379B"/>
    <w:rsid w:val="003545C4"/>
    <w:rsid w:val="00354AB0"/>
    <w:rsid w:val="00355798"/>
    <w:rsid w:val="00355F58"/>
    <w:rsid w:val="00362921"/>
    <w:rsid w:val="003629D6"/>
    <w:rsid w:val="0036621F"/>
    <w:rsid w:val="00370236"/>
    <w:rsid w:val="00370D1C"/>
    <w:rsid w:val="0037107A"/>
    <w:rsid w:val="0037163C"/>
    <w:rsid w:val="00372961"/>
    <w:rsid w:val="00373861"/>
    <w:rsid w:val="0037574C"/>
    <w:rsid w:val="00380B72"/>
    <w:rsid w:val="00386349"/>
    <w:rsid w:val="00386B5A"/>
    <w:rsid w:val="00391B1F"/>
    <w:rsid w:val="00392524"/>
    <w:rsid w:val="0039364C"/>
    <w:rsid w:val="00394EF9"/>
    <w:rsid w:val="00397112"/>
    <w:rsid w:val="00397200"/>
    <w:rsid w:val="003A0970"/>
    <w:rsid w:val="003A7C09"/>
    <w:rsid w:val="003B436D"/>
    <w:rsid w:val="003B7836"/>
    <w:rsid w:val="003C0A61"/>
    <w:rsid w:val="003C24AD"/>
    <w:rsid w:val="003C5071"/>
    <w:rsid w:val="003D0E86"/>
    <w:rsid w:val="003D15A3"/>
    <w:rsid w:val="003D39AE"/>
    <w:rsid w:val="003D4200"/>
    <w:rsid w:val="003D7D84"/>
    <w:rsid w:val="003E15D9"/>
    <w:rsid w:val="003E460E"/>
    <w:rsid w:val="003E7218"/>
    <w:rsid w:val="0040013A"/>
    <w:rsid w:val="0040127C"/>
    <w:rsid w:val="00402216"/>
    <w:rsid w:val="00415C27"/>
    <w:rsid w:val="004169FD"/>
    <w:rsid w:val="00420876"/>
    <w:rsid w:val="0042283D"/>
    <w:rsid w:val="00430538"/>
    <w:rsid w:val="004332EF"/>
    <w:rsid w:val="00436399"/>
    <w:rsid w:val="004405BC"/>
    <w:rsid w:val="0044179E"/>
    <w:rsid w:val="004422DD"/>
    <w:rsid w:val="00442C23"/>
    <w:rsid w:val="00442E16"/>
    <w:rsid w:val="0044354B"/>
    <w:rsid w:val="00444430"/>
    <w:rsid w:val="00445B1D"/>
    <w:rsid w:val="00445B84"/>
    <w:rsid w:val="00445B9F"/>
    <w:rsid w:val="00450537"/>
    <w:rsid w:val="00451D7B"/>
    <w:rsid w:val="0045697B"/>
    <w:rsid w:val="00457E70"/>
    <w:rsid w:val="0046347F"/>
    <w:rsid w:val="0046369D"/>
    <w:rsid w:val="00464A4B"/>
    <w:rsid w:val="00465827"/>
    <w:rsid w:val="00466631"/>
    <w:rsid w:val="00467018"/>
    <w:rsid w:val="0047019A"/>
    <w:rsid w:val="00475C49"/>
    <w:rsid w:val="00477FEC"/>
    <w:rsid w:val="00482F15"/>
    <w:rsid w:val="004864F2"/>
    <w:rsid w:val="00487E77"/>
    <w:rsid w:val="004925AF"/>
    <w:rsid w:val="00493D46"/>
    <w:rsid w:val="004976C7"/>
    <w:rsid w:val="00497AFF"/>
    <w:rsid w:val="004A7E27"/>
    <w:rsid w:val="004B02F2"/>
    <w:rsid w:val="004B6EF6"/>
    <w:rsid w:val="004C126D"/>
    <w:rsid w:val="004C2C74"/>
    <w:rsid w:val="004C439A"/>
    <w:rsid w:val="004C56A8"/>
    <w:rsid w:val="004C689C"/>
    <w:rsid w:val="004D2B6B"/>
    <w:rsid w:val="004D2D2A"/>
    <w:rsid w:val="004E2CFE"/>
    <w:rsid w:val="004E344E"/>
    <w:rsid w:val="004E4E80"/>
    <w:rsid w:val="004E53DD"/>
    <w:rsid w:val="004E5C17"/>
    <w:rsid w:val="004F0ECB"/>
    <w:rsid w:val="004F50D0"/>
    <w:rsid w:val="004F55AB"/>
    <w:rsid w:val="004F5803"/>
    <w:rsid w:val="004F64A1"/>
    <w:rsid w:val="00500777"/>
    <w:rsid w:val="00501D92"/>
    <w:rsid w:val="00503B75"/>
    <w:rsid w:val="005066A6"/>
    <w:rsid w:val="00511DB9"/>
    <w:rsid w:val="00513688"/>
    <w:rsid w:val="00513763"/>
    <w:rsid w:val="00524F71"/>
    <w:rsid w:val="005272CD"/>
    <w:rsid w:val="00527A49"/>
    <w:rsid w:val="005310A6"/>
    <w:rsid w:val="0053595B"/>
    <w:rsid w:val="00537901"/>
    <w:rsid w:val="00540DE6"/>
    <w:rsid w:val="00542A91"/>
    <w:rsid w:val="0054387B"/>
    <w:rsid w:val="005465B6"/>
    <w:rsid w:val="00552EA5"/>
    <w:rsid w:val="00554065"/>
    <w:rsid w:val="00555D8D"/>
    <w:rsid w:val="00560EAF"/>
    <w:rsid w:val="00572059"/>
    <w:rsid w:val="00573E83"/>
    <w:rsid w:val="005775FA"/>
    <w:rsid w:val="00583550"/>
    <w:rsid w:val="00591622"/>
    <w:rsid w:val="005947ED"/>
    <w:rsid w:val="00596277"/>
    <w:rsid w:val="005B6C71"/>
    <w:rsid w:val="005C208D"/>
    <w:rsid w:val="005C50DF"/>
    <w:rsid w:val="005C6300"/>
    <w:rsid w:val="005D0C97"/>
    <w:rsid w:val="005D13A8"/>
    <w:rsid w:val="005D2052"/>
    <w:rsid w:val="005D22EB"/>
    <w:rsid w:val="005D3D05"/>
    <w:rsid w:val="005E1666"/>
    <w:rsid w:val="005E1A2D"/>
    <w:rsid w:val="005E31BD"/>
    <w:rsid w:val="005E3ECA"/>
    <w:rsid w:val="005E4AD5"/>
    <w:rsid w:val="005E5183"/>
    <w:rsid w:val="005F4FA6"/>
    <w:rsid w:val="005F6FF9"/>
    <w:rsid w:val="005F71F6"/>
    <w:rsid w:val="00600E89"/>
    <w:rsid w:val="00603880"/>
    <w:rsid w:val="00603FEA"/>
    <w:rsid w:val="00604956"/>
    <w:rsid w:val="006108E0"/>
    <w:rsid w:val="00612615"/>
    <w:rsid w:val="00612ABC"/>
    <w:rsid w:val="00620EA2"/>
    <w:rsid w:val="00625E1C"/>
    <w:rsid w:val="00632039"/>
    <w:rsid w:val="00641758"/>
    <w:rsid w:val="00643676"/>
    <w:rsid w:val="006436D6"/>
    <w:rsid w:val="006458E3"/>
    <w:rsid w:val="006464AD"/>
    <w:rsid w:val="00647545"/>
    <w:rsid w:val="00647AB1"/>
    <w:rsid w:val="00655059"/>
    <w:rsid w:val="00660553"/>
    <w:rsid w:val="00663245"/>
    <w:rsid w:val="00663DE1"/>
    <w:rsid w:val="00664C86"/>
    <w:rsid w:val="00664F5A"/>
    <w:rsid w:val="00665902"/>
    <w:rsid w:val="006664D5"/>
    <w:rsid w:val="00667384"/>
    <w:rsid w:val="00667447"/>
    <w:rsid w:val="0067267E"/>
    <w:rsid w:val="00675178"/>
    <w:rsid w:val="006761C2"/>
    <w:rsid w:val="006771FF"/>
    <w:rsid w:val="00682943"/>
    <w:rsid w:val="00683D3B"/>
    <w:rsid w:val="006876F4"/>
    <w:rsid w:val="00692A30"/>
    <w:rsid w:val="00693EF1"/>
    <w:rsid w:val="006955BF"/>
    <w:rsid w:val="00697DB7"/>
    <w:rsid w:val="006A307A"/>
    <w:rsid w:val="006B0B91"/>
    <w:rsid w:val="006B24E7"/>
    <w:rsid w:val="006B554E"/>
    <w:rsid w:val="006B5B87"/>
    <w:rsid w:val="006C21A8"/>
    <w:rsid w:val="006C483B"/>
    <w:rsid w:val="006C49D3"/>
    <w:rsid w:val="006C742E"/>
    <w:rsid w:val="006D78DE"/>
    <w:rsid w:val="006E2B12"/>
    <w:rsid w:val="006E3BE7"/>
    <w:rsid w:val="006E5986"/>
    <w:rsid w:val="006E5F79"/>
    <w:rsid w:val="006E6073"/>
    <w:rsid w:val="006E7D51"/>
    <w:rsid w:val="006F01F5"/>
    <w:rsid w:val="006F05AC"/>
    <w:rsid w:val="006F1E99"/>
    <w:rsid w:val="006F26FB"/>
    <w:rsid w:val="006F2A9A"/>
    <w:rsid w:val="006F33DF"/>
    <w:rsid w:val="006F7150"/>
    <w:rsid w:val="00710788"/>
    <w:rsid w:val="00710F9C"/>
    <w:rsid w:val="00711860"/>
    <w:rsid w:val="00714D1B"/>
    <w:rsid w:val="00717029"/>
    <w:rsid w:val="00720312"/>
    <w:rsid w:val="0072202C"/>
    <w:rsid w:val="0072288E"/>
    <w:rsid w:val="007229F0"/>
    <w:rsid w:val="00730BF8"/>
    <w:rsid w:val="007313AE"/>
    <w:rsid w:val="00735E33"/>
    <w:rsid w:val="0073667E"/>
    <w:rsid w:val="00740012"/>
    <w:rsid w:val="00741F34"/>
    <w:rsid w:val="00745B3A"/>
    <w:rsid w:val="0074780F"/>
    <w:rsid w:val="007502BB"/>
    <w:rsid w:val="007520B7"/>
    <w:rsid w:val="00752D2E"/>
    <w:rsid w:val="007539EE"/>
    <w:rsid w:val="00756CFF"/>
    <w:rsid w:val="00761A28"/>
    <w:rsid w:val="00762F4A"/>
    <w:rsid w:val="007633CA"/>
    <w:rsid w:val="007663F0"/>
    <w:rsid w:val="00767B4B"/>
    <w:rsid w:val="00774DB3"/>
    <w:rsid w:val="00777511"/>
    <w:rsid w:val="00782BD3"/>
    <w:rsid w:val="00783A2D"/>
    <w:rsid w:val="00783C30"/>
    <w:rsid w:val="00786516"/>
    <w:rsid w:val="0078701B"/>
    <w:rsid w:val="0079003D"/>
    <w:rsid w:val="00790F54"/>
    <w:rsid w:val="00792C55"/>
    <w:rsid w:val="0079349C"/>
    <w:rsid w:val="007957D3"/>
    <w:rsid w:val="007963A4"/>
    <w:rsid w:val="007A3942"/>
    <w:rsid w:val="007A41FE"/>
    <w:rsid w:val="007A4FF1"/>
    <w:rsid w:val="007A5C4C"/>
    <w:rsid w:val="007A6008"/>
    <w:rsid w:val="007A66E8"/>
    <w:rsid w:val="007A67A8"/>
    <w:rsid w:val="007A6D6E"/>
    <w:rsid w:val="007B5B14"/>
    <w:rsid w:val="007C00B5"/>
    <w:rsid w:val="007C271F"/>
    <w:rsid w:val="007D4695"/>
    <w:rsid w:val="007D5F69"/>
    <w:rsid w:val="007D7D2D"/>
    <w:rsid w:val="007E24A8"/>
    <w:rsid w:val="007E6BBB"/>
    <w:rsid w:val="007F0CC4"/>
    <w:rsid w:val="007F261A"/>
    <w:rsid w:val="007F4389"/>
    <w:rsid w:val="00805841"/>
    <w:rsid w:val="008067E9"/>
    <w:rsid w:val="00810BDB"/>
    <w:rsid w:val="008138C2"/>
    <w:rsid w:val="008207FC"/>
    <w:rsid w:val="00824A1A"/>
    <w:rsid w:val="0082723D"/>
    <w:rsid w:val="00830FB1"/>
    <w:rsid w:val="008318D4"/>
    <w:rsid w:val="00832C2D"/>
    <w:rsid w:val="00835C56"/>
    <w:rsid w:val="00835F60"/>
    <w:rsid w:val="0083628C"/>
    <w:rsid w:val="00840509"/>
    <w:rsid w:val="00840E2A"/>
    <w:rsid w:val="00841B85"/>
    <w:rsid w:val="0084484A"/>
    <w:rsid w:val="00845EAD"/>
    <w:rsid w:val="008509BD"/>
    <w:rsid w:val="008518FE"/>
    <w:rsid w:val="00856079"/>
    <w:rsid w:val="008631C4"/>
    <w:rsid w:val="00863246"/>
    <w:rsid w:val="008647E2"/>
    <w:rsid w:val="00865A3B"/>
    <w:rsid w:val="00867C1C"/>
    <w:rsid w:val="00871807"/>
    <w:rsid w:val="0087458E"/>
    <w:rsid w:val="00874F4C"/>
    <w:rsid w:val="00877005"/>
    <w:rsid w:val="0088112D"/>
    <w:rsid w:val="0088245D"/>
    <w:rsid w:val="00886D81"/>
    <w:rsid w:val="00893B6A"/>
    <w:rsid w:val="008A0C31"/>
    <w:rsid w:val="008A1EE5"/>
    <w:rsid w:val="008A2F62"/>
    <w:rsid w:val="008B10B5"/>
    <w:rsid w:val="008B3EC8"/>
    <w:rsid w:val="008B6C92"/>
    <w:rsid w:val="008B7CE7"/>
    <w:rsid w:val="008C3A26"/>
    <w:rsid w:val="008C42A4"/>
    <w:rsid w:val="008C53F1"/>
    <w:rsid w:val="008C5FF0"/>
    <w:rsid w:val="008D1AF9"/>
    <w:rsid w:val="008D2226"/>
    <w:rsid w:val="008E4405"/>
    <w:rsid w:val="008E4839"/>
    <w:rsid w:val="008E5D81"/>
    <w:rsid w:val="008E656C"/>
    <w:rsid w:val="008E704C"/>
    <w:rsid w:val="008F39A1"/>
    <w:rsid w:val="00902772"/>
    <w:rsid w:val="00903665"/>
    <w:rsid w:val="0090419E"/>
    <w:rsid w:val="00904C28"/>
    <w:rsid w:val="009053AC"/>
    <w:rsid w:val="00910979"/>
    <w:rsid w:val="00913FA1"/>
    <w:rsid w:val="00916263"/>
    <w:rsid w:val="00916B1E"/>
    <w:rsid w:val="00916CF7"/>
    <w:rsid w:val="00916F72"/>
    <w:rsid w:val="00917EB0"/>
    <w:rsid w:val="009200D9"/>
    <w:rsid w:val="00924290"/>
    <w:rsid w:val="0093136C"/>
    <w:rsid w:val="009361E0"/>
    <w:rsid w:val="00940851"/>
    <w:rsid w:val="0094353A"/>
    <w:rsid w:val="00950E79"/>
    <w:rsid w:val="00953DC8"/>
    <w:rsid w:val="009541DC"/>
    <w:rsid w:val="00954DED"/>
    <w:rsid w:val="00957FBC"/>
    <w:rsid w:val="0096288A"/>
    <w:rsid w:val="0096360D"/>
    <w:rsid w:val="00963665"/>
    <w:rsid w:val="009647CE"/>
    <w:rsid w:val="00964DCE"/>
    <w:rsid w:val="009661C0"/>
    <w:rsid w:val="009713B5"/>
    <w:rsid w:val="0097695A"/>
    <w:rsid w:val="00982515"/>
    <w:rsid w:val="00985C6F"/>
    <w:rsid w:val="00987DA5"/>
    <w:rsid w:val="00996119"/>
    <w:rsid w:val="009A10CD"/>
    <w:rsid w:val="009B1BE6"/>
    <w:rsid w:val="009B2215"/>
    <w:rsid w:val="009B3F2A"/>
    <w:rsid w:val="009B493D"/>
    <w:rsid w:val="009B6017"/>
    <w:rsid w:val="009B77A4"/>
    <w:rsid w:val="009B7B34"/>
    <w:rsid w:val="009C02EB"/>
    <w:rsid w:val="009C263C"/>
    <w:rsid w:val="009C760C"/>
    <w:rsid w:val="009D22C9"/>
    <w:rsid w:val="009D59B1"/>
    <w:rsid w:val="009D6E38"/>
    <w:rsid w:val="009D7798"/>
    <w:rsid w:val="009D7F30"/>
    <w:rsid w:val="009E272C"/>
    <w:rsid w:val="009E7949"/>
    <w:rsid w:val="009F1173"/>
    <w:rsid w:val="009F2CE7"/>
    <w:rsid w:val="009F6300"/>
    <w:rsid w:val="00A03DAA"/>
    <w:rsid w:val="00A04E16"/>
    <w:rsid w:val="00A053A7"/>
    <w:rsid w:val="00A07072"/>
    <w:rsid w:val="00A1398C"/>
    <w:rsid w:val="00A16209"/>
    <w:rsid w:val="00A179D8"/>
    <w:rsid w:val="00A17F78"/>
    <w:rsid w:val="00A217B1"/>
    <w:rsid w:val="00A226D6"/>
    <w:rsid w:val="00A2617B"/>
    <w:rsid w:val="00A326C7"/>
    <w:rsid w:val="00A34E4F"/>
    <w:rsid w:val="00A36005"/>
    <w:rsid w:val="00A36F6E"/>
    <w:rsid w:val="00A40FDD"/>
    <w:rsid w:val="00A43B1A"/>
    <w:rsid w:val="00A476E2"/>
    <w:rsid w:val="00A52E27"/>
    <w:rsid w:val="00A66B88"/>
    <w:rsid w:val="00A7059A"/>
    <w:rsid w:val="00A72258"/>
    <w:rsid w:val="00A73CCB"/>
    <w:rsid w:val="00A754BF"/>
    <w:rsid w:val="00A80900"/>
    <w:rsid w:val="00A9256F"/>
    <w:rsid w:val="00A94073"/>
    <w:rsid w:val="00A95724"/>
    <w:rsid w:val="00A97609"/>
    <w:rsid w:val="00A97CC1"/>
    <w:rsid w:val="00AA0964"/>
    <w:rsid w:val="00AA0D73"/>
    <w:rsid w:val="00AB7956"/>
    <w:rsid w:val="00AB7F1E"/>
    <w:rsid w:val="00AC0253"/>
    <w:rsid w:val="00AC5BD9"/>
    <w:rsid w:val="00AC760B"/>
    <w:rsid w:val="00AD0E90"/>
    <w:rsid w:val="00AD267E"/>
    <w:rsid w:val="00AD5950"/>
    <w:rsid w:val="00AE7B09"/>
    <w:rsid w:val="00AF4B02"/>
    <w:rsid w:val="00AF5C38"/>
    <w:rsid w:val="00B01D6A"/>
    <w:rsid w:val="00B0308C"/>
    <w:rsid w:val="00B10E20"/>
    <w:rsid w:val="00B119E0"/>
    <w:rsid w:val="00B13755"/>
    <w:rsid w:val="00B14EDA"/>
    <w:rsid w:val="00B15B26"/>
    <w:rsid w:val="00B15EA7"/>
    <w:rsid w:val="00B218BF"/>
    <w:rsid w:val="00B27FD9"/>
    <w:rsid w:val="00B30A58"/>
    <w:rsid w:val="00B33E1B"/>
    <w:rsid w:val="00B35FBA"/>
    <w:rsid w:val="00B35FD4"/>
    <w:rsid w:val="00B40022"/>
    <w:rsid w:val="00B40969"/>
    <w:rsid w:val="00B4789A"/>
    <w:rsid w:val="00B51B53"/>
    <w:rsid w:val="00B527C6"/>
    <w:rsid w:val="00B63983"/>
    <w:rsid w:val="00B66459"/>
    <w:rsid w:val="00B7027A"/>
    <w:rsid w:val="00B719FD"/>
    <w:rsid w:val="00B71B7E"/>
    <w:rsid w:val="00B73D60"/>
    <w:rsid w:val="00B7675B"/>
    <w:rsid w:val="00B80918"/>
    <w:rsid w:val="00B81709"/>
    <w:rsid w:val="00B82529"/>
    <w:rsid w:val="00B91227"/>
    <w:rsid w:val="00B94D4D"/>
    <w:rsid w:val="00B9576A"/>
    <w:rsid w:val="00B959E0"/>
    <w:rsid w:val="00B9605D"/>
    <w:rsid w:val="00B96F7F"/>
    <w:rsid w:val="00B97D08"/>
    <w:rsid w:val="00BA2FE9"/>
    <w:rsid w:val="00BB2C8E"/>
    <w:rsid w:val="00BB3836"/>
    <w:rsid w:val="00BC6F6D"/>
    <w:rsid w:val="00BC79AA"/>
    <w:rsid w:val="00BC7BE2"/>
    <w:rsid w:val="00BD01DA"/>
    <w:rsid w:val="00BD1DC0"/>
    <w:rsid w:val="00BD70E0"/>
    <w:rsid w:val="00BE1D4B"/>
    <w:rsid w:val="00BE2BF0"/>
    <w:rsid w:val="00BE491C"/>
    <w:rsid w:val="00BE4F1C"/>
    <w:rsid w:val="00BE6F0A"/>
    <w:rsid w:val="00BE7278"/>
    <w:rsid w:val="00BE7B71"/>
    <w:rsid w:val="00BF2E9E"/>
    <w:rsid w:val="00BF4819"/>
    <w:rsid w:val="00BF5021"/>
    <w:rsid w:val="00BF6960"/>
    <w:rsid w:val="00C00573"/>
    <w:rsid w:val="00C01D6D"/>
    <w:rsid w:val="00C0394B"/>
    <w:rsid w:val="00C101D8"/>
    <w:rsid w:val="00C15724"/>
    <w:rsid w:val="00C16678"/>
    <w:rsid w:val="00C21599"/>
    <w:rsid w:val="00C244B2"/>
    <w:rsid w:val="00C30868"/>
    <w:rsid w:val="00C32403"/>
    <w:rsid w:val="00C34D32"/>
    <w:rsid w:val="00C41372"/>
    <w:rsid w:val="00C41FD7"/>
    <w:rsid w:val="00C6082A"/>
    <w:rsid w:val="00C61509"/>
    <w:rsid w:val="00C62C53"/>
    <w:rsid w:val="00C64768"/>
    <w:rsid w:val="00C71158"/>
    <w:rsid w:val="00C71A97"/>
    <w:rsid w:val="00C736F6"/>
    <w:rsid w:val="00C81FCB"/>
    <w:rsid w:val="00C829CC"/>
    <w:rsid w:val="00C91212"/>
    <w:rsid w:val="00C92BC1"/>
    <w:rsid w:val="00C96435"/>
    <w:rsid w:val="00CA25E8"/>
    <w:rsid w:val="00CA2731"/>
    <w:rsid w:val="00CA4BB0"/>
    <w:rsid w:val="00CA7053"/>
    <w:rsid w:val="00CB4172"/>
    <w:rsid w:val="00CB57AB"/>
    <w:rsid w:val="00CB6D1B"/>
    <w:rsid w:val="00CB77B1"/>
    <w:rsid w:val="00CC2A43"/>
    <w:rsid w:val="00CC36AC"/>
    <w:rsid w:val="00CC5AAE"/>
    <w:rsid w:val="00CC7CB2"/>
    <w:rsid w:val="00CD017B"/>
    <w:rsid w:val="00CD0859"/>
    <w:rsid w:val="00CD2493"/>
    <w:rsid w:val="00CD55EC"/>
    <w:rsid w:val="00CE36B7"/>
    <w:rsid w:val="00CE41F5"/>
    <w:rsid w:val="00CE4391"/>
    <w:rsid w:val="00CF0D9C"/>
    <w:rsid w:val="00CF2FB6"/>
    <w:rsid w:val="00CF4250"/>
    <w:rsid w:val="00CF49DA"/>
    <w:rsid w:val="00CF5AE8"/>
    <w:rsid w:val="00CF67B5"/>
    <w:rsid w:val="00CF67E8"/>
    <w:rsid w:val="00CF7C5F"/>
    <w:rsid w:val="00D02236"/>
    <w:rsid w:val="00D046D2"/>
    <w:rsid w:val="00D06468"/>
    <w:rsid w:val="00D1017D"/>
    <w:rsid w:val="00D11282"/>
    <w:rsid w:val="00D11D55"/>
    <w:rsid w:val="00D14569"/>
    <w:rsid w:val="00D15B0F"/>
    <w:rsid w:val="00D22AEF"/>
    <w:rsid w:val="00D25096"/>
    <w:rsid w:val="00D2614B"/>
    <w:rsid w:val="00D3035E"/>
    <w:rsid w:val="00D30B4B"/>
    <w:rsid w:val="00D31FD3"/>
    <w:rsid w:val="00D3496C"/>
    <w:rsid w:val="00D3643E"/>
    <w:rsid w:val="00D40841"/>
    <w:rsid w:val="00D411DB"/>
    <w:rsid w:val="00D452EA"/>
    <w:rsid w:val="00D53BE1"/>
    <w:rsid w:val="00D57ABE"/>
    <w:rsid w:val="00D60D0A"/>
    <w:rsid w:val="00D63034"/>
    <w:rsid w:val="00D664DF"/>
    <w:rsid w:val="00D72C48"/>
    <w:rsid w:val="00D7572D"/>
    <w:rsid w:val="00D76EC7"/>
    <w:rsid w:val="00D806F7"/>
    <w:rsid w:val="00D84E57"/>
    <w:rsid w:val="00D90E8B"/>
    <w:rsid w:val="00D964B6"/>
    <w:rsid w:val="00DA06CF"/>
    <w:rsid w:val="00DA2107"/>
    <w:rsid w:val="00DA482F"/>
    <w:rsid w:val="00DA4F8D"/>
    <w:rsid w:val="00DA567B"/>
    <w:rsid w:val="00DA700A"/>
    <w:rsid w:val="00DB10DE"/>
    <w:rsid w:val="00DC076C"/>
    <w:rsid w:val="00DC0BCD"/>
    <w:rsid w:val="00DC63EA"/>
    <w:rsid w:val="00DC7755"/>
    <w:rsid w:val="00DD0776"/>
    <w:rsid w:val="00DD2D10"/>
    <w:rsid w:val="00DD493A"/>
    <w:rsid w:val="00DE0BA7"/>
    <w:rsid w:val="00DE6E8C"/>
    <w:rsid w:val="00DF1B60"/>
    <w:rsid w:val="00DF64FE"/>
    <w:rsid w:val="00DF70DD"/>
    <w:rsid w:val="00E05CBD"/>
    <w:rsid w:val="00E0685D"/>
    <w:rsid w:val="00E133C1"/>
    <w:rsid w:val="00E13A22"/>
    <w:rsid w:val="00E22023"/>
    <w:rsid w:val="00E24F4A"/>
    <w:rsid w:val="00E24F6C"/>
    <w:rsid w:val="00E25FBD"/>
    <w:rsid w:val="00E26554"/>
    <w:rsid w:val="00E27C54"/>
    <w:rsid w:val="00E33DFC"/>
    <w:rsid w:val="00E36DC0"/>
    <w:rsid w:val="00E37A28"/>
    <w:rsid w:val="00E40C11"/>
    <w:rsid w:val="00E504F9"/>
    <w:rsid w:val="00E5307C"/>
    <w:rsid w:val="00E5314E"/>
    <w:rsid w:val="00E538A2"/>
    <w:rsid w:val="00E61DCA"/>
    <w:rsid w:val="00E65FF2"/>
    <w:rsid w:val="00E67113"/>
    <w:rsid w:val="00E67390"/>
    <w:rsid w:val="00E71726"/>
    <w:rsid w:val="00E732A5"/>
    <w:rsid w:val="00E757CD"/>
    <w:rsid w:val="00E76293"/>
    <w:rsid w:val="00E773EF"/>
    <w:rsid w:val="00E824E1"/>
    <w:rsid w:val="00E841D0"/>
    <w:rsid w:val="00E84CB6"/>
    <w:rsid w:val="00E8759A"/>
    <w:rsid w:val="00E915A7"/>
    <w:rsid w:val="00E934B9"/>
    <w:rsid w:val="00E9363B"/>
    <w:rsid w:val="00E966EE"/>
    <w:rsid w:val="00EA0D8E"/>
    <w:rsid w:val="00EA4ECB"/>
    <w:rsid w:val="00EA78F0"/>
    <w:rsid w:val="00EB0365"/>
    <w:rsid w:val="00EB1D83"/>
    <w:rsid w:val="00EB210F"/>
    <w:rsid w:val="00EB3AB1"/>
    <w:rsid w:val="00EC2261"/>
    <w:rsid w:val="00ED09EC"/>
    <w:rsid w:val="00ED2B43"/>
    <w:rsid w:val="00EE161E"/>
    <w:rsid w:val="00EE26EB"/>
    <w:rsid w:val="00EE2B73"/>
    <w:rsid w:val="00EF0326"/>
    <w:rsid w:val="00EF0F0F"/>
    <w:rsid w:val="00EF712F"/>
    <w:rsid w:val="00F0048F"/>
    <w:rsid w:val="00F01F55"/>
    <w:rsid w:val="00F141A9"/>
    <w:rsid w:val="00F1772D"/>
    <w:rsid w:val="00F22C55"/>
    <w:rsid w:val="00F270CF"/>
    <w:rsid w:val="00F301E8"/>
    <w:rsid w:val="00F323E3"/>
    <w:rsid w:val="00F33FD6"/>
    <w:rsid w:val="00F34D29"/>
    <w:rsid w:val="00F35C2C"/>
    <w:rsid w:val="00F44F0C"/>
    <w:rsid w:val="00F45974"/>
    <w:rsid w:val="00F45EFD"/>
    <w:rsid w:val="00F51B8A"/>
    <w:rsid w:val="00F53A4B"/>
    <w:rsid w:val="00F64D16"/>
    <w:rsid w:val="00F65B50"/>
    <w:rsid w:val="00F66697"/>
    <w:rsid w:val="00F66D00"/>
    <w:rsid w:val="00F67B3D"/>
    <w:rsid w:val="00F733D2"/>
    <w:rsid w:val="00F867C5"/>
    <w:rsid w:val="00F87CF1"/>
    <w:rsid w:val="00F906DF"/>
    <w:rsid w:val="00F934DE"/>
    <w:rsid w:val="00F941F7"/>
    <w:rsid w:val="00F95832"/>
    <w:rsid w:val="00F9693E"/>
    <w:rsid w:val="00F973AF"/>
    <w:rsid w:val="00F9745A"/>
    <w:rsid w:val="00FA5CE9"/>
    <w:rsid w:val="00FA6695"/>
    <w:rsid w:val="00FA794C"/>
    <w:rsid w:val="00FB1C77"/>
    <w:rsid w:val="00FB3E54"/>
    <w:rsid w:val="00FB3F6A"/>
    <w:rsid w:val="00FB6F1F"/>
    <w:rsid w:val="00FC749F"/>
    <w:rsid w:val="00FD2905"/>
    <w:rsid w:val="00FE1CEA"/>
    <w:rsid w:val="00FE3C8E"/>
    <w:rsid w:val="00FE3E86"/>
    <w:rsid w:val="00FE4490"/>
    <w:rsid w:val="00FE51F2"/>
    <w:rsid w:val="00FE52AD"/>
    <w:rsid w:val="00FE5547"/>
    <w:rsid w:val="00FE5CB2"/>
    <w:rsid w:val="00FF15E9"/>
    <w:rsid w:val="00FF6973"/>
    <w:rsid w:val="0BBF0088"/>
    <w:rsid w:val="318D6F0E"/>
    <w:rsid w:val="33797D25"/>
    <w:rsid w:val="45937C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 w:eastAsia="zh-CN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 w:eastAsia="zh-CN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zh-CN" w:eastAsia="zh-CN"/>
    </w:rPr>
  </w:style>
  <w:style w:type="character" w:default="1" w:styleId="17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qFormat/>
    <w:uiPriority w:val="0"/>
    <w:rPr>
      <w:b/>
      <w:bCs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Document Map"/>
    <w:basedOn w:val="1"/>
    <w:qFormat/>
    <w:uiPriority w:val="0"/>
    <w:pPr>
      <w:shd w:val="clear" w:color="auto" w:fill="000080"/>
    </w:pPr>
  </w:style>
  <w:style w:type="paragraph" w:styleId="9">
    <w:name w:val="Date"/>
    <w:basedOn w:val="1"/>
    <w:next w:val="1"/>
    <w:link w:val="48"/>
    <w:qFormat/>
    <w:uiPriority w:val="0"/>
    <w:rPr>
      <w:rFonts w:ascii="宋体"/>
      <w:sz w:val="32"/>
      <w:lang w:val="zh-CN" w:eastAsia="zh-CN"/>
    </w:rPr>
  </w:style>
  <w:style w:type="paragraph" w:styleId="10">
    <w:name w:val="Balloon Text"/>
    <w:basedOn w:val="1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3"/>
    <w:next w:val="4"/>
    <w:link w:val="25"/>
    <w:qFormat/>
    <w:uiPriority w:val="0"/>
    <w:pPr>
      <w:spacing w:before="240" w:after="60" w:line="312" w:lineRule="auto"/>
      <w:jc w:val="left"/>
    </w:pPr>
    <w:rPr>
      <w:bCs w:val="0"/>
      <w:kern w:val="28"/>
      <w:sz w:val="24"/>
    </w:rPr>
  </w:style>
  <w:style w:type="paragraph" w:styleId="14">
    <w:name w:val="footnote text"/>
    <w:basedOn w:val="1"/>
    <w:link w:val="47"/>
    <w:qFormat/>
    <w:uiPriority w:val="0"/>
    <w:pPr>
      <w:snapToGrid w:val="0"/>
      <w:jc w:val="left"/>
    </w:pPr>
    <w:rPr>
      <w:sz w:val="18"/>
      <w:szCs w:val="18"/>
      <w:lang w:val="zh-CN" w:eastAsia="zh-CN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Title"/>
    <w:basedOn w:val="2"/>
    <w:next w:val="3"/>
    <w:link w:val="28"/>
    <w:qFormat/>
    <w:uiPriority w:val="10"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styleId="18">
    <w:name w:val="page number"/>
    <w:basedOn w:val="17"/>
    <w:qFormat/>
    <w:uiPriority w:val="0"/>
  </w:style>
  <w:style w:type="character" w:styleId="19">
    <w:name w:val="annotation reference"/>
    <w:qFormat/>
    <w:uiPriority w:val="0"/>
    <w:rPr>
      <w:sz w:val="21"/>
      <w:szCs w:val="21"/>
    </w:rPr>
  </w:style>
  <w:style w:type="character" w:styleId="20">
    <w:name w:val="footnote reference"/>
    <w:qFormat/>
    <w:uiPriority w:val="0"/>
    <w:rPr>
      <w:vertAlign w:val="superscript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3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24">
    <w:name w:val="CODE"/>
    <w:qFormat/>
    <w:uiPriority w:val="0"/>
    <w:rPr>
      <w:rFonts w:ascii="Courier New" w:hAnsi="Courier New"/>
      <w:spacing w:val="-10"/>
      <w:sz w:val="20"/>
      <w:lang w:val="en-GB" w:eastAsia="zh-CN"/>
    </w:rPr>
  </w:style>
  <w:style w:type="character" w:customStyle="1" w:styleId="25">
    <w:name w:val="副标题 Char"/>
    <w:link w:val="13"/>
    <w:qFormat/>
    <w:uiPriority w:val="0"/>
    <w:rPr>
      <w:rFonts w:ascii="Cambria" w:hAnsi="Cambria" w:eastAsia="宋体" w:cs="Times New Roman"/>
      <w:b/>
      <w:kern w:val="28"/>
      <w:sz w:val="24"/>
      <w:szCs w:val="32"/>
    </w:rPr>
  </w:style>
  <w:style w:type="character" w:customStyle="1" w:styleId="26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8">
    <w:name w:val="标题 Char"/>
    <w:link w:val="16"/>
    <w:qFormat/>
    <w:uiPriority w:val="10"/>
    <w:rPr>
      <w:rFonts w:ascii="Cambria" w:hAnsi="Cambria" w:cs="Times New Roman"/>
      <w:b/>
      <w:bCs/>
      <w:sz w:val="32"/>
      <w:szCs w:val="32"/>
    </w:rPr>
  </w:style>
  <w:style w:type="paragraph" w:customStyle="1" w:styleId="29">
    <w:name w:val="xl3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0">
    <w:name w:val="Char Char Char Char Char Char1 Char Char Char"/>
    <w:basedOn w:val="1"/>
    <w:qFormat/>
    <w:uiPriority w:val="0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</w:rPr>
  </w:style>
  <w:style w:type="paragraph" w:customStyle="1" w:styleId="31">
    <w:name w:val="次标题"/>
    <w:basedOn w:val="4"/>
    <w:next w:val="1"/>
    <w:qFormat/>
    <w:uiPriority w:val="0"/>
    <w:pPr>
      <w:jc w:val="left"/>
    </w:pPr>
    <w:rPr>
      <w:rFonts w:ascii="宋体" w:hAnsi="宋体"/>
      <w:sz w:val="24"/>
      <w:szCs w:val="24"/>
    </w:rPr>
  </w:style>
  <w:style w:type="paragraph" w:customStyle="1" w:styleId="32">
    <w:name w:val="Char"/>
    <w:basedOn w:val="1"/>
    <w:qFormat/>
    <w:uiPriority w:val="0"/>
  </w:style>
  <w:style w:type="character" w:customStyle="1" w:styleId="33">
    <w:name w:val="标题 4 Char"/>
    <w:link w:val="5"/>
    <w:semiHidden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paragraph" w:customStyle="1" w:styleId="34">
    <w:name w:val="XBRL标题1"/>
    <w:basedOn w:val="2"/>
    <w:next w:val="3"/>
    <w:qFormat/>
    <w:uiPriority w:val="0"/>
    <w:pPr>
      <w:spacing w:beforeLines="50" w:afterLines="50" w:line="240" w:lineRule="auto"/>
      <w:jc w:val="center"/>
    </w:pPr>
    <w:rPr>
      <w:rFonts w:ascii="Cambria" w:hAnsi="Cambria"/>
      <w:sz w:val="28"/>
    </w:rPr>
  </w:style>
  <w:style w:type="paragraph" w:customStyle="1" w:styleId="35">
    <w:name w:val="XBRL标题2"/>
    <w:basedOn w:val="13"/>
    <w:next w:val="5"/>
    <w:qFormat/>
    <w:uiPriority w:val="0"/>
    <w:pPr>
      <w:spacing w:beforeLines="50" w:afterLines="50" w:line="240" w:lineRule="auto"/>
    </w:pPr>
    <w:rPr>
      <w:bCs/>
    </w:rPr>
  </w:style>
  <w:style w:type="paragraph" w:customStyle="1" w:styleId="36">
    <w:name w:val="XBRL标题3"/>
    <w:basedOn w:val="13"/>
    <w:next w:val="5"/>
    <w:qFormat/>
    <w:uiPriority w:val="0"/>
    <w:pPr>
      <w:spacing w:beforeLines="50" w:afterLines="50" w:line="240" w:lineRule="auto"/>
      <w:outlineLvl w:val="9"/>
    </w:pPr>
    <w:rPr>
      <w:bCs/>
    </w:rPr>
  </w:style>
  <w:style w:type="paragraph" w:customStyle="1" w:styleId="37">
    <w:name w:val="XBRL标题4"/>
    <w:basedOn w:val="13"/>
    <w:next w:val="5"/>
    <w:qFormat/>
    <w:uiPriority w:val="0"/>
    <w:pPr>
      <w:spacing w:beforeLines="50" w:afterLines="50" w:line="240" w:lineRule="auto"/>
      <w:outlineLvl w:val="9"/>
    </w:pPr>
    <w:rPr>
      <w:bCs/>
    </w:rPr>
  </w:style>
  <w:style w:type="paragraph" w:customStyle="1" w:styleId="38">
    <w:name w:val="XBRL标题5"/>
    <w:basedOn w:val="13"/>
    <w:next w:val="5"/>
    <w:qFormat/>
    <w:uiPriority w:val="0"/>
    <w:pPr>
      <w:spacing w:beforeLines="50" w:afterLines="50" w:line="240" w:lineRule="auto"/>
      <w:outlineLvl w:val="9"/>
    </w:pPr>
    <w:rPr>
      <w:bCs/>
    </w:rPr>
  </w:style>
  <w:style w:type="paragraph" w:customStyle="1" w:styleId="39">
    <w:name w:val="XBRL标题6"/>
    <w:basedOn w:val="13"/>
    <w:next w:val="5"/>
    <w:qFormat/>
    <w:uiPriority w:val="0"/>
    <w:pPr>
      <w:spacing w:beforeLines="50" w:afterLines="50" w:line="240" w:lineRule="auto"/>
      <w:outlineLvl w:val="9"/>
    </w:pPr>
    <w:rPr>
      <w:bCs/>
    </w:rPr>
  </w:style>
  <w:style w:type="paragraph" w:customStyle="1" w:styleId="40">
    <w:name w:val="XBRLTitle1"/>
    <w:basedOn w:val="2"/>
    <w:next w:val="3"/>
    <w:qFormat/>
    <w:uiPriority w:val="0"/>
    <w:pPr>
      <w:numPr>
        <w:ilvl w:val="0"/>
        <w:numId w:val="1"/>
      </w:numPr>
      <w:spacing w:before="156" w:beforeLines="50" w:after="156" w:afterLines="50" w:line="240" w:lineRule="auto"/>
      <w:jc w:val="left"/>
    </w:pPr>
    <w:rPr>
      <w:rFonts w:ascii="Cambria" w:hAnsi="Cambria"/>
      <w:sz w:val="28"/>
    </w:rPr>
  </w:style>
  <w:style w:type="paragraph" w:customStyle="1" w:styleId="41">
    <w:name w:val="XBRLTitle2"/>
    <w:basedOn w:val="13"/>
    <w:next w:val="5"/>
    <w:qFormat/>
    <w:uiPriority w:val="0"/>
    <w:pPr>
      <w:numPr>
        <w:ilvl w:val="1"/>
        <w:numId w:val="2"/>
      </w:numPr>
      <w:spacing w:beforeLines="50" w:afterLines="50" w:line="240" w:lineRule="auto"/>
    </w:pPr>
    <w:rPr>
      <w:bCs/>
    </w:rPr>
  </w:style>
  <w:style w:type="paragraph" w:customStyle="1" w:styleId="42">
    <w:name w:val="XBRLTitle3"/>
    <w:basedOn w:val="13"/>
    <w:next w:val="5"/>
    <w:qFormat/>
    <w:uiPriority w:val="0"/>
    <w:pPr>
      <w:numPr>
        <w:ilvl w:val="2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43">
    <w:name w:val="XBRLTitle4"/>
    <w:basedOn w:val="13"/>
    <w:next w:val="5"/>
    <w:qFormat/>
    <w:uiPriority w:val="0"/>
    <w:pPr>
      <w:numPr>
        <w:ilvl w:val="3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44">
    <w:name w:val="XBRLTitle5"/>
    <w:basedOn w:val="13"/>
    <w:next w:val="5"/>
    <w:qFormat/>
    <w:uiPriority w:val="0"/>
    <w:pPr>
      <w:numPr>
        <w:ilvl w:val="4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45">
    <w:name w:val="XBRLTitle6"/>
    <w:basedOn w:val="13"/>
    <w:next w:val="5"/>
    <w:qFormat/>
    <w:uiPriority w:val="0"/>
    <w:pPr>
      <w:numPr>
        <w:ilvl w:val="5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4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47">
    <w:name w:val="脚注文本 Char"/>
    <w:link w:val="14"/>
    <w:qFormat/>
    <w:uiPriority w:val="0"/>
    <w:rPr>
      <w:kern w:val="2"/>
      <w:sz w:val="18"/>
      <w:szCs w:val="18"/>
    </w:rPr>
  </w:style>
  <w:style w:type="character" w:customStyle="1" w:styleId="48">
    <w:name w:val="日期 Char"/>
    <w:link w:val="9"/>
    <w:qFormat/>
    <w:uiPriority w:val="0"/>
    <w:rPr>
      <w:rFonts w:ascii="宋体"/>
      <w:kern w:val="2"/>
      <w:sz w:val="32"/>
    </w:rPr>
  </w:style>
  <w:style w:type="paragraph" w:styleId="49">
    <w:name w:val="List Paragraph"/>
    <w:basedOn w:val="1"/>
    <w:qFormat/>
    <w:uiPriority w:val="34"/>
    <w:pPr>
      <w:ind w:firstLine="420" w:firstLineChars="200"/>
    </w:pPr>
  </w:style>
  <w:style w:type="paragraph" w:customStyle="1" w:styleId="50">
    <w:name w:val="Char1"/>
    <w:basedOn w:val="1"/>
    <w:qFormat/>
    <w:uiPriority w:val="0"/>
  </w:style>
  <w:style w:type="paragraph" w:customStyle="1" w:styleId="51">
    <w:name w:val="xbrltit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s\FA&#22806;&#21253;-LU70\WbWeb\TBCoreV2\TBCore.Web\Report\Template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3EB689-16BA-4565-9A6E-625CBFB7C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5</Pages>
  <Words>314</Words>
  <Characters>1794</Characters>
  <Lines>14</Lines>
  <Paragraphs>4</Paragraphs>
  <TotalTime>0</TotalTime>
  <ScaleCrop>false</ScaleCrop>
  <LinksUpToDate>false</LinksUpToDate>
  <CharactersWithSpaces>2104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2021-04-23T07:42:00Z</dcterms:created>
  <dc:creator>yss</dc:creator>
  <cp:lastModifiedBy>范嘉琦</cp:lastModifiedBy>
  <cp:lastPrinted>2411-12-31T16:00:00Z</cp:lastPrinted>
  <dcterms:modified xsi:type="dcterms:W3CDTF">2023-10-20T07:21:41Z</dcterms:modified>
  <dc:title>gongGaoMingCheng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  <property fmtid="{D5CDD505-2E9C-101B-9397-08002B2CF9AE}" pid="3" name="Generator">
    <vt:lpwstr>NPOI</vt:lpwstr>
  </property>
  <property fmtid="{D5CDD505-2E9C-101B-9397-08002B2CF9AE}" pid="4" name="Generator Version">
    <vt:lpwstr>2.2.1</vt:lpwstr>
  </property>
</Properties>
</file>