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E4" w:rsidRDefault="009F08E4">
      <w:pPr>
        <w:spacing w:line="560" w:lineRule="atLeast"/>
        <w:jc w:val="center"/>
        <w:rPr>
          <w:rFonts w:ascii="仿宋" w:eastAsia="仿宋" w:hAnsi="仿宋" w:cs="仿宋"/>
          <w:b/>
          <w:sz w:val="32"/>
          <w:szCs w:val="20"/>
        </w:rPr>
      </w:pPr>
    </w:p>
    <w:p w:rsidR="009F08E4" w:rsidRDefault="009F08E4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9F08E4" w:rsidRDefault="004760D5">
      <w:pPr>
        <w:pStyle w:val="2"/>
        <w:keepNext w:val="0"/>
        <w:keepLines w:val="0"/>
        <w:autoSpaceDE w:val="0"/>
        <w:autoSpaceDN w:val="0"/>
        <w:spacing w:before="220" w:line="560" w:lineRule="atLeast"/>
        <w:jc w:val="center"/>
        <w:rPr>
          <w:rFonts w:ascii="仿宋" w:eastAsia="仿宋" w:hAnsi="仿宋" w:cs="仿宋"/>
          <w:bCs/>
          <w:kern w:val="0"/>
          <w:sz w:val="52"/>
          <w:szCs w:val="52"/>
          <w:lang w:bidi="zh-CN"/>
        </w:rPr>
      </w:pP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幸福</w:t>
      </w: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99</w:t>
      </w:r>
      <w:r>
        <w:rPr>
          <w:rFonts w:ascii="仿宋" w:eastAsia="仿宋" w:hAnsi="仿宋" w:cs="仿宋" w:hint="eastAsia"/>
          <w:bCs/>
          <w:kern w:val="0"/>
          <w:sz w:val="52"/>
          <w:szCs w:val="52"/>
          <w:lang w:bidi="zh-CN"/>
        </w:rPr>
        <w:t>零钱包开放式理财计划</w:t>
      </w:r>
    </w:p>
    <w:p w:rsidR="009F08E4" w:rsidRDefault="004760D5">
      <w:pPr>
        <w:autoSpaceDE w:val="0"/>
        <w:autoSpaceDN w:val="0"/>
        <w:spacing w:line="560" w:lineRule="atLeast"/>
        <w:jc w:val="center"/>
        <w:rPr>
          <w:rFonts w:ascii="仿宋" w:eastAsia="仿宋" w:hAnsi="仿宋" w:cs="仿宋"/>
          <w:b/>
          <w:bCs/>
          <w:kern w:val="0"/>
          <w:sz w:val="44"/>
          <w:szCs w:val="44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  <w:lang w:bidi="zh-CN"/>
        </w:rPr>
        <w:t>2022</w:t>
      </w:r>
      <w:r>
        <w:rPr>
          <w:rFonts w:ascii="仿宋" w:eastAsia="仿宋" w:hAnsi="仿宋" w:cs="仿宋"/>
          <w:b/>
          <w:sz w:val="44"/>
        </w:rPr>
        <w:t>年第</w:t>
      </w:r>
      <w:r>
        <w:rPr>
          <w:rFonts w:ascii="仿宋" w:eastAsia="仿宋" w:hAnsi="仿宋" w:cs="仿宋"/>
          <w:b/>
          <w:sz w:val="44"/>
        </w:rPr>
        <w:t>3</w:t>
      </w:r>
      <w:r>
        <w:rPr>
          <w:rFonts w:ascii="仿宋" w:eastAsia="仿宋" w:hAnsi="仿宋" w:cs="仿宋"/>
          <w:b/>
          <w:sz w:val="44"/>
        </w:rPr>
        <w:t>季度报告</w:t>
      </w:r>
    </w:p>
    <w:p w:rsidR="009F08E4" w:rsidRDefault="009F08E4">
      <w:pPr>
        <w:spacing w:line="560" w:lineRule="atLeast"/>
        <w:jc w:val="center"/>
        <w:rPr>
          <w:rFonts w:ascii="仿宋" w:eastAsia="仿宋" w:hAnsi="仿宋" w:cs="仿宋"/>
          <w:color w:val="0000FF"/>
          <w:kern w:val="0"/>
          <w:sz w:val="18"/>
          <w:szCs w:val="20"/>
        </w:rPr>
      </w:pPr>
    </w:p>
    <w:p w:rsidR="009F08E4" w:rsidRDefault="009F08E4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9F08E4" w:rsidRDefault="009F08E4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9F08E4" w:rsidRDefault="004760D5">
      <w:pPr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产品管理人：杭银理财有限责任公司</w:t>
      </w:r>
    </w:p>
    <w:p w:rsidR="009F08E4" w:rsidRDefault="004760D5">
      <w:pPr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产品托管人：杭州银行股份有限公司</w:t>
      </w:r>
    </w:p>
    <w:p w:rsidR="009F08E4" w:rsidRDefault="009F08E4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9F08E4" w:rsidRDefault="009F08E4">
      <w:pPr>
        <w:spacing w:line="560" w:lineRule="atLeast"/>
        <w:jc w:val="center"/>
        <w:rPr>
          <w:rFonts w:ascii="仿宋" w:eastAsia="仿宋" w:hAnsi="仿宋" w:cs="仿宋"/>
          <w:sz w:val="24"/>
        </w:rPr>
      </w:pPr>
    </w:p>
    <w:p w:rsidR="009F08E4" w:rsidRDefault="004760D5">
      <w:pPr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19</w:t>
      </w:r>
      <w:r>
        <w:rPr>
          <w:rFonts w:ascii="仿宋" w:eastAsia="仿宋" w:hAnsi="仿宋" w:cs="仿宋" w:hint="eastAsia"/>
          <w:sz w:val="24"/>
        </w:rPr>
        <w:t>日</w:t>
      </w:r>
    </w:p>
    <w:p w:rsidR="009F08E4" w:rsidRDefault="004760D5">
      <w:pPr>
        <w:spacing w:line="56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:rsidR="009F08E4" w:rsidRDefault="004760D5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§</w:t>
      </w:r>
      <w:r>
        <w:rPr>
          <w:rFonts w:ascii="仿宋" w:eastAsia="仿宋" w:hAnsi="仿宋" w:cs="仿宋" w:hint="eastAsia"/>
          <w:sz w:val="24"/>
        </w:rPr>
        <w:t xml:space="preserve">1  </w:t>
      </w:r>
      <w:r>
        <w:rPr>
          <w:rFonts w:ascii="仿宋" w:eastAsia="仿宋" w:hAnsi="仿宋" w:cs="仿宋" w:hint="eastAsia"/>
          <w:sz w:val="24"/>
        </w:rPr>
        <w:t>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 w:rsidR="009F08E4"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9F08E4" w:rsidRDefault="004760D5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产品托管人根据本产品合同规定，于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年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9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月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30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日复核了本报告中的财务指标、净值表现和投资组合报告等内容，保证复核内容不存在虚假记载、误导性陈述或者重大遗漏。</w:t>
            </w:r>
          </w:p>
          <w:p w:rsidR="009F08E4" w:rsidRDefault="004760D5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产品的过往业绩并不代表其未来表现。投资有风险，投资者在作出投资决策前应仔细阅读本产品的产品说明书。</w:t>
            </w:r>
          </w:p>
          <w:p w:rsidR="009F08E4" w:rsidRDefault="004760D5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9F08E4" w:rsidRDefault="004760D5">
            <w:pPr>
              <w:widowControl/>
              <w:adjustRightInd w:val="0"/>
              <w:snapToGrid w:val="0"/>
              <w:spacing w:line="560" w:lineRule="atLeas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年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7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月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1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日起至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年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9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月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30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日止。</w:t>
            </w:r>
          </w:p>
        </w:tc>
      </w:tr>
    </w:tbl>
    <w:p w:rsidR="009F08E4" w:rsidRDefault="009F08E4">
      <w:pPr>
        <w:spacing w:line="560" w:lineRule="atLeast"/>
        <w:rPr>
          <w:rStyle w:val="Char"/>
          <w:rFonts w:ascii="仿宋" w:eastAsia="仿宋" w:hAnsi="仿宋" w:cs="仿宋"/>
          <w:color w:val="0000FF"/>
          <w:sz w:val="18"/>
          <w:szCs w:val="20"/>
        </w:rPr>
      </w:pPr>
    </w:p>
    <w:p w:rsidR="009F08E4" w:rsidRDefault="004760D5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 xml:space="preserve">2  </w:t>
      </w:r>
      <w:r>
        <w:rPr>
          <w:rFonts w:ascii="仿宋" w:eastAsia="仿宋" w:hAnsi="仿宋" w:cs="仿宋" w:hint="eastAsia"/>
          <w:sz w:val="24"/>
        </w:rPr>
        <w:t>产品概况</w:t>
      </w:r>
    </w:p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 xml:space="preserve">2.1 </w:t>
      </w:r>
      <w:r>
        <w:rPr>
          <w:rFonts w:ascii="仿宋" w:eastAsia="仿宋" w:hAnsi="仿宋" w:cs="仿宋" w:hint="eastAsia"/>
          <w:b/>
          <w:sz w:val="24"/>
        </w:rPr>
        <w:t>产品基本情况</w:t>
      </w:r>
      <w:bookmarkEnd w:id="0"/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5"/>
        <w:gridCol w:w="5834"/>
      </w:tblGrid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幸福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99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零钱包开放式理财计划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LQB2001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Z7002220000004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产品成立日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开放式净值型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Style w:val="Char"/>
                <w:rFonts w:ascii="仿宋" w:eastAsia="仿宋" w:hAnsi="仿宋" w:cs="仿宋" w:hint="eastAsia"/>
                <w:sz w:val="18"/>
              </w:rPr>
              <w:t>—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规模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5,547,782,893.66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%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105.75%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低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 w:rsidR="009F08E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rPr>
                <w:rStyle w:val="Char"/>
                <w:rFonts w:ascii="仿宋" w:eastAsia="仿宋" w:hAnsi="仿宋" w:cs="仿宋"/>
                <w:color w:val="0000FF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sz w:val="18"/>
          <w:szCs w:val="20"/>
        </w:rPr>
      </w:pPr>
      <w:r>
        <w:rPr>
          <w:rFonts w:ascii="仿宋" w:eastAsia="仿宋" w:hAnsi="仿宋" w:cs="仿宋" w:hint="eastAsia"/>
          <w:sz w:val="18"/>
        </w:rPr>
        <w:t>*</w:t>
      </w:r>
      <w:r>
        <w:rPr>
          <w:rFonts w:ascii="仿宋" w:eastAsia="仿宋" w:hAnsi="仿宋" w:cs="仿宋" w:hint="eastAsia"/>
          <w:sz w:val="18"/>
        </w:rPr>
        <w:t>杠杆水平</w:t>
      </w:r>
      <w:r>
        <w:rPr>
          <w:rFonts w:ascii="仿宋" w:eastAsia="仿宋" w:hAnsi="仿宋" w:cs="仿宋" w:hint="eastAsia"/>
          <w:sz w:val="18"/>
        </w:rPr>
        <w:t>=</w:t>
      </w:r>
      <w:r>
        <w:rPr>
          <w:rFonts w:ascii="仿宋" w:eastAsia="仿宋" w:hAnsi="仿宋" w:cs="仿宋" w:hint="eastAsia"/>
          <w:sz w:val="18"/>
        </w:rPr>
        <w:t>总资产</w:t>
      </w:r>
      <w:r>
        <w:rPr>
          <w:rFonts w:ascii="仿宋" w:eastAsia="仿宋" w:hAnsi="仿宋" w:cs="仿宋" w:hint="eastAsia"/>
          <w:sz w:val="18"/>
        </w:rPr>
        <w:t>/</w:t>
      </w:r>
      <w:r>
        <w:rPr>
          <w:rFonts w:ascii="仿宋" w:eastAsia="仿宋" w:hAnsi="仿宋" w:cs="仿宋" w:hint="eastAsia"/>
          <w:sz w:val="18"/>
        </w:rPr>
        <w:t>理财产品净资产，理财产品净资产</w:t>
      </w:r>
      <w:r>
        <w:rPr>
          <w:rFonts w:ascii="仿宋" w:eastAsia="仿宋" w:hAnsi="仿宋" w:cs="仿宋" w:hint="eastAsia"/>
          <w:sz w:val="18"/>
        </w:rPr>
        <w:t>=</w:t>
      </w:r>
      <w:r>
        <w:rPr>
          <w:rFonts w:ascii="仿宋" w:eastAsia="仿宋" w:hAnsi="仿宋" w:cs="仿宋" w:hint="eastAsia"/>
          <w:sz w:val="18"/>
        </w:rPr>
        <w:t>总资产</w:t>
      </w:r>
      <w:r>
        <w:rPr>
          <w:rFonts w:ascii="仿宋" w:eastAsia="仿宋" w:hAnsi="仿宋" w:cs="仿宋" w:hint="eastAsia"/>
          <w:sz w:val="18"/>
        </w:rPr>
        <w:t>-</w:t>
      </w:r>
      <w:r>
        <w:rPr>
          <w:rFonts w:ascii="仿宋" w:eastAsia="仿宋" w:hAnsi="仿宋" w:cs="仿宋" w:hint="eastAsia"/>
          <w:sz w:val="18"/>
        </w:rPr>
        <w:t>总负债</w:t>
      </w:r>
    </w:p>
    <w:p w:rsidR="009F08E4" w:rsidRDefault="009F08E4">
      <w:pPr>
        <w:adjustRightInd w:val="0"/>
        <w:snapToGrid w:val="0"/>
        <w:spacing w:line="560" w:lineRule="atLeast"/>
        <w:rPr>
          <w:rFonts w:ascii="仿宋" w:eastAsia="仿宋" w:hAnsi="仿宋" w:cs="仿宋"/>
          <w:color w:val="000000"/>
          <w:sz w:val="24"/>
        </w:rPr>
      </w:pPr>
    </w:p>
    <w:p w:rsidR="009F08E4" w:rsidRDefault="009F08E4">
      <w:pPr>
        <w:adjustRightInd w:val="0"/>
        <w:snapToGrid w:val="0"/>
        <w:spacing w:line="560" w:lineRule="atLeast"/>
        <w:rPr>
          <w:rFonts w:ascii="仿宋" w:eastAsia="仿宋" w:hAnsi="仿宋" w:cs="仿宋"/>
          <w:color w:val="000000"/>
          <w:sz w:val="24"/>
        </w:rPr>
      </w:pPr>
    </w:p>
    <w:p w:rsidR="009F08E4" w:rsidRDefault="004760D5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§</w:t>
      </w:r>
      <w:r>
        <w:rPr>
          <w:rFonts w:ascii="仿宋" w:eastAsia="仿宋" w:hAnsi="仿宋" w:cs="仿宋" w:hint="eastAsia"/>
          <w:sz w:val="24"/>
        </w:rPr>
        <w:t xml:space="preserve">3  </w:t>
      </w:r>
      <w:r>
        <w:rPr>
          <w:rFonts w:ascii="仿宋" w:eastAsia="仿宋" w:hAnsi="仿宋" w:cs="仿宋" w:hint="eastAsia"/>
          <w:sz w:val="24"/>
        </w:rPr>
        <w:t>主要财务指标和产品净值表现</w:t>
      </w:r>
    </w:p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3.1 </w:t>
      </w:r>
      <w:r>
        <w:rPr>
          <w:rFonts w:ascii="仿宋" w:eastAsia="仿宋" w:hAnsi="仿宋" w:cs="仿宋" w:hint="eastAsia"/>
          <w:b/>
          <w:sz w:val="24"/>
        </w:rPr>
        <w:t>主要财务指标和产品净值表现</w:t>
      </w:r>
    </w:p>
    <w:p w:rsidR="009F08E4" w:rsidRDefault="004760D5">
      <w:pPr>
        <w:adjustRightInd w:val="0"/>
        <w:snapToGrid w:val="0"/>
        <w:spacing w:line="560" w:lineRule="atLeast"/>
        <w:ind w:left="5143" w:hangingChars="2143" w:hanging="5143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24"/>
        </w:rPr>
        <w:t>单位：元、</w:t>
      </w:r>
      <w:r>
        <w:rPr>
          <w:rFonts w:ascii="仿宋" w:eastAsia="仿宋" w:hAnsi="仿宋" w:cs="仿宋" w:hint="eastAsia"/>
          <w:sz w:val="24"/>
        </w:rPr>
        <w:t>份、</w:t>
      </w:r>
      <w:r>
        <w:rPr>
          <w:rFonts w:ascii="仿宋" w:eastAsia="仿宋" w:hAnsi="仿宋" w:cs="仿宋" w:hint="eastAsia"/>
          <w:sz w:val="24"/>
        </w:rPr>
        <w:t>元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份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1533"/>
        <w:gridCol w:w="965"/>
        <w:gridCol w:w="1735"/>
        <w:gridCol w:w="2624"/>
      </w:tblGrid>
      <w:tr w:rsidR="009F08E4"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7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-2022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日）</w:t>
            </w:r>
          </w:p>
        </w:tc>
      </w:tr>
      <w:tr w:rsidR="009F08E4"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left"/>
              <w:rPr>
                <w:rStyle w:val="Char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期末产品资产净值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5,547,782,893.66</w:t>
            </w:r>
          </w:p>
        </w:tc>
      </w:tr>
      <w:tr w:rsidR="009F08E4"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期末产品总份额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5,547,782,893.66</w:t>
            </w:r>
          </w:p>
        </w:tc>
      </w:tr>
      <w:tr w:rsidR="009F08E4">
        <w:trPr>
          <w:trHeight w:val="158"/>
        </w:trPr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left"/>
              <w:rPr>
                <w:rStyle w:val="Char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期末产品份额单位净值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1.0000</w:t>
            </w:r>
          </w:p>
        </w:tc>
      </w:tr>
      <w:tr w:rsidR="009F08E4">
        <w:trPr>
          <w:trHeight w:val="158"/>
        </w:trPr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left"/>
              <w:rPr>
                <w:rStyle w:val="Char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期末产品份额累计净值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1.0000</w:t>
            </w:r>
          </w:p>
        </w:tc>
      </w:tr>
      <w:tr w:rsidR="009F08E4">
        <w:trPr>
          <w:trHeight w:val="158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R="009F08E4">
        <w:trPr>
          <w:trHeight w:val="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份额净值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R="009F08E4">
        <w:trPr>
          <w:trHeight w:val="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幸福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99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零钱包开放式理财计划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LQB2001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1.0000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1,390,320,488.82</w:t>
            </w:r>
          </w:p>
        </w:tc>
      </w:tr>
      <w:tr w:rsidR="009F08E4">
        <w:trPr>
          <w:trHeight w:val="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杭银理财幸福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99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零钱包开放式理财计划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B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LQB2001B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1.0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105,798,491.29</w:t>
            </w:r>
          </w:p>
        </w:tc>
      </w:tr>
      <w:tr w:rsidR="009F08E4">
        <w:trPr>
          <w:trHeight w:val="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杭银理财幸福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99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lastRenderedPageBreak/>
              <w:t>零钱包开放式理财计划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C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lastRenderedPageBreak/>
              <w:t>LQB2001C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1.0000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13,669,437.66</w:t>
            </w:r>
          </w:p>
        </w:tc>
      </w:tr>
      <w:tr w:rsidR="009F08E4">
        <w:trPr>
          <w:trHeight w:val="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lastRenderedPageBreak/>
              <w:t>杭银理财幸福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99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零钱包开放式理财计划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D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LQB2001D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1.0000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13,285,244.74</w:t>
            </w:r>
          </w:p>
        </w:tc>
      </w:tr>
      <w:tr w:rsidR="009F08E4">
        <w:trPr>
          <w:trHeight w:val="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杭银理财幸福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99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零钱包开放式理财计划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E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LQB2001E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1.0000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3,888,950,817.19</w:t>
            </w:r>
          </w:p>
        </w:tc>
      </w:tr>
      <w:tr w:rsidR="009F08E4">
        <w:trPr>
          <w:trHeight w:val="15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杭银理财幸福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99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零钱包开放式理财计划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F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LQB2001F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1.0000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pStyle w:val="a6"/>
              <w:adjustRightInd w:val="0"/>
              <w:snapToGrid w:val="0"/>
              <w:spacing w:before="0" w:beforeAutospacing="0" w:after="0" w:afterAutospacing="0" w:line="560" w:lineRule="atLeast"/>
              <w:jc w:val="right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135,758,413.96</w:t>
            </w:r>
          </w:p>
        </w:tc>
      </w:tr>
    </w:tbl>
    <w:p w:rsidR="009F08E4" w:rsidRDefault="009F08E4">
      <w:pPr>
        <w:adjustRightInd w:val="0"/>
        <w:snapToGrid w:val="0"/>
        <w:spacing w:line="560" w:lineRule="atLeast"/>
        <w:rPr>
          <w:rFonts w:ascii="仿宋" w:eastAsia="仿宋" w:hAnsi="仿宋" w:cs="仿宋"/>
          <w:color w:val="404040"/>
          <w:kern w:val="0"/>
          <w:sz w:val="18"/>
        </w:rPr>
      </w:pPr>
    </w:p>
    <w:p w:rsidR="009F08E4" w:rsidRDefault="009F08E4">
      <w:pPr>
        <w:adjustRightInd w:val="0"/>
        <w:snapToGrid w:val="0"/>
        <w:spacing w:line="560" w:lineRule="atLeast"/>
        <w:rPr>
          <w:rFonts w:ascii="仿宋" w:eastAsia="仿宋" w:hAnsi="仿宋" w:cs="仿宋"/>
          <w:color w:val="404040"/>
          <w:kern w:val="0"/>
        </w:rPr>
      </w:pPr>
    </w:p>
    <w:p w:rsidR="009F08E4" w:rsidRDefault="004760D5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§</w:t>
      </w:r>
      <w:r>
        <w:rPr>
          <w:rFonts w:ascii="仿宋" w:eastAsia="仿宋" w:hAnsi="仿宋" w:cs="仿宋" w:hint="eastAsia"/>
          <w:color w:val="000000"/>
          <w:sz w:val="24"/>
        </w:rPr>
        <w:t xml:space="preserve">4  </w:t>
      </w:r>
      <w:r>
        <w:rPr>
          <w:rFonts w:ascii="仿宋" w:eastAsia="仿宋" w:hAnsi="仿宋" w:cs="仿宋" w:hint="eastAsia"/>
          <w:color w:val="000000"/>
          <w:sz w:val="24"/>
        </w:rPr>
        <w:t>投资组合报告</w:t>
      </w:r>
    </w:p>
    <w:p w:rsidR="009F08E4" w:rsidRDefault="004760D5">
      <w:pPr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4.1</w:t>
      </w:r>
      <w:r>
        <w:rPr>
          <w:rFonts w:ascii="仿宋" w:eastAsia="仿宋" w:hAnsi="仿宋" w:cs="仿宋" w:hint="eastAsia"/>
          <w:b/>
          <w:sz w:val="24"/>
        </w:rPr>
        <w:t>报告期内产品投资策略回顾</w:t>
      </w:r>
    </w:p>
    <w:p w:rsidR="009F08E4" w:rsidRDefault="004760D5">
      <w:pPr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季度以来，国内经济总体延续呈现弱复苏态势，基建相关高频数据出现回升，制造业投资保持稳健增长，但房地产相关指标依旧疲弱，消费受疫情和居民收入增速放缓影响恢复较慢，出口增速开始回落，经济仍面临一定压力。同时海外美元进入强势周期，全球经济和金融市场不确定性较大，在此背景下，国内货</w:t>
      </w:r>
      <w:r>
        <w:rPr>
          <w:rFonts w:ascii="仿宋" w:eastAsia="仿宋" w:hAnsi="仿宋" w:cs="仿宋" w:hint="eastAsia"/>
          <w:sz w:val="24"/>
        </w:rPr>
        <w:lastRenderedPageBreak/>
        <w:t>币政策有望保持相对宽松。</w:t>
      </w:r>
      <w:r>
        <w:rPr>
          <w:rFonts w:ascii="仿宋" w:eastAsia="仿宋" w:hAnsi="仿宋" w:cs="仿宋" w:hint="eastAsia"/>
          <w:sz w:val="24"/>
        </w:rPr>
        <w:cr/>
      </w:r>
      <w:r>
        <w:rPr>
          <w:rFonts w:ascii="仿宋" w:eastAsia="仿宋" w:hAnsi="仿宋" w:cs="仿宋" w:hint="eastAsia"/>
          <w:sz w:val="24"/>
        </w:rPr>
        <w:t>债券市场方面，债券收益率先下后上，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月央行超预期降息带动债券收益率大幅下行，利率债收益率一度接近</w:t>
      </w:r>
      <w:r>
        <w:rPr>
          <w:rFonts w:ascii="仿宋" w:eastAsia="仿宋" w:hAnsi="仿宋" w:cs="仿宋" w:hint="eastAsia"/>
          <w:sz w:val="24"/>
        </w:rPr>
        <w:t>2020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月低点，信用利差大幅压缩，资产荒再现。但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月以来，受美联储加息、人民币汇率快速走贬、商品房销售回暖、资</w:t>
      </w:r>
      <w:r>
        <w:rPr>
          <w:rFonts w:ascii="仿宋" w:eastAsia="仿宋" w:hAnsi="仿宋" w:cs="仿宋" w:hint="eastAsia"/>
          <w:sz w:val="24"/>
        </w:rPr>
        <w:t>金价格收敛等因素影响，债市出现较大幅度调整。</w:t>
      </w:r>
      <w:r>
        <w:rPr>
          <w:rFonts w:ascii="仿宋" w:eastAsia="仿宋" w:hAnsi="仿宋" w:cs="仿宋" w:hint="eastAsia"/>
          <w:sz w:val="24"/>
        </w:rPr>
        <w:cr/>
      </w:r>
      <w:r>
        <w:rPr>
          <w:rFonts w:ascii="仿宋" w:eastAsia="仿宋" w:hAnsi="仿宋" w:cs="仿宋" w:hint="eastAsia"/>
          <w:sz w:val="24"/>
        </w:rPr>
        <w:t>资金方面：三季度央行公开市场微量净投放</w:t>
      </w:r>
      <w:r>
        <w:rPr>
          <w:rFonts w:ascii="仿宋" w:eastAsia="仿宋" w:hAnsi="仿宋" w:cs="仿宋" w:hint="eastAsia"/>
          <w:sz w:val="24"/>
        </w:rPr>
        <w:t>1180</w:t>
      </w:r>
      <w:r>
        <w:rPr>
          <w:rFonts w:ascii="仿宋" w:eastAsia="仿宋" w:hAnsi="仿宋" w:cs="仿宋" w:hint="eastAsia"/>
          <w:sz w:val="24"/>
        </w:rPr>
        <w:t>亿元，其中</w:t>
      </w:r>
      <w:r>
        <w:rPr>
          <w:rFonts w:ascii="仿宋" w:eastAsia="仿宋" w:hAnsi="仿宋" w:cs="仿宋" w:hint="eastAsia"/>
          <w:sz w:val="24"/>
        </w:rPr>
        <w:t>MLF</w:t>
      </w:r>
      <w:r>
        <w:rPr>
          <w:rFonts w:ascii="仿宋" w:eastAsia="仿宋" w:hAnsi="仿宋" w:cs="仿宋" w:hint="eastAsia"/>
          <w:sz w:val="24"/>
        </w:rPr>
        <w:t>小幅净回笼</w:t>
      </w:r>
      <w:r>
        <w:rPr>
          <w:rFonts w:ascii="仿宋" w:eastAsia="仿宋" w:hAnsi="仿宋" w:cs="仿宋" w:hint="eastAsia"/>
          <w:sz w:val="24"/>
        </w:rPr>
        <w:t>4000</w:t>
      </w:r>
      <w:r>
        <w:rPr>
          <w:rFonts w:ascii="仿宋" w:eastAsia="仿宋" w:hAnsi="仿宋" w:cs="仿宋" w:hint="eastAsia"/>
          <w:sz w:val="24"/>
        </w:rPr>
        <w:t>亿，银行间资金价格较二季度相比整体平稳，</w:t>
      </w:r>
      <w:r>
        <w:rPr>
          <w:rFonts w:ascii="仿宋" w:eastAsia="仿宋" w:hAnsi="仿宋" w:cs="仿宋" w:hint="eastAsia"/>
          <w:sz w:val="24"/>
        </w:rPr>
        <w:t>R007</w:t>
      </w:r>
      <w:r>
        <w:rPr>
          <w:rFonts w:ascii="仿宋" w:eastAsia="仿宋" w:hAnsi="仿宋" w:cs="仿宋" w:hint="eastAsia"/>
          <w:sz w:val="24"/>
        </w:rPr>
        <w:t>均值</w:t>
      </w:r>
      <w:r>
        <w:rPr>
          <w:rFonts w:ascii="仿宋" w:eastAsia="仿宋" w:hAnsi="仿宋" w:cs="仿宋" w:hint="eastAsia"/>
          <w:sz w:val="24"/>
        </w:rPr>
        <w:t>1.64%</w:t>
      </w:r>
      <w:r>
        <w:rPr>
          <w:rFonts w:ascii="仿宋" w:eastAsia="仿宋" w:hAnsi="仿宋" w:cs="仿宋" w:hint="eastAsia"/>
          <w:sz w:val="24"/>
        </w:rPr>
        <w:t>，较上季度下行</w:t>
      </w:r>
      <w:r>
        <w:rPr>
          <w:rFonts w:ascii="仿宋" w:eastAsia="仿宋" w:hAnsi="仿宋" w:cs="仿宋" w:hint="eastAsia"/>
          <w:sz w:val="24"/>
        </w:rPr>
        <w:t>21bp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cr/>
      </w:r>
      <w:r>
        <w:rPr>
          <w:rFonts w:ascii="仿宋" w:eastAsia="仿宋" w:hAnsi="仿宋" w:cs="仿宋" w:hint="eastAsia"/>
          <w:sz w:val="24"/>
        </w:rPr>
        <w:t>本产品以主要投资于债券等固定收益类资产。信用债投资方面，在严格把控信用风险的前提下，挖掘个券的超额收益机会；利率债和同业存单投资方面，继续保持灵活适度操作，择机参与波段机会。</w:t>
      </w:r>
    </w:p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9F08E4" w:rsidRDefault="004760D5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展望四季度，在基建投资带动下，经济大概率延续弱复苏的态势，房地产、疫情防控、美联储加息进程是影响后市主</w:t>
      </w:r>
      <w:r>
        <w:rPr>
          <w:rFonts w:ascii="仿宋" w:eastAsia="仿宋" w:hAnsi="仿宋" w:cs="仿宋" w:hint="eastAsia"/>
          <w:sz w:val="24"/>
        </w:rPr>
        <w:t>要变量。综合来看，当前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年期国债收益率接近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年期</w:t>
      </w:r>
      <w:r>
        <w:rPr>
          <w:rFonts w:ascii="仿宋" w:eastAsia="仿宋" w:hAnsi="仿宋" w:cs="仿宋" w:hint="eastAsia"/>
          <w:sz w:val="24"/>
        </w:rPr>
        <w:t>MLF</w:t>
      </w:r>
      <w:r>
        <w:rPr>
          <w:rFonts w:ascii="仿宋" w:eastAsia="仿宋" w:hAnsi="仿宋" w:cs="仿宋" w:hint="eastAsia"/>
          <w:sz w:val="24"/>
        </w:rPr>
        <w:t>政策利率，债券绝对收益率水平偏低，四季度维持债券收益率震荡判断。</w:t>
      </w:r>
    </w:p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9F08E4" w:rsidRDefault="004760D5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本产品属于</w:t>
      </w:r>
      <w:r>
        <w:rPr>
          <w:rFonts w:ascii="仿宋" w:eastAsia="仿宋" w:hAnsi="仿宋" w:cs="仿宋"/>
          <w:sz w:val="24"/>
        </w:rPr>
        <w:t>开放式固定收益类，本产品通过合理安排投资品种和期限结构、限制资产持仓集中度、监控组合资金头寸等方式管理产品的流动性风险，确保资</w:t>
      </w:r>
      <w:r>
        <w:rPr>
          <w:rFonts w:ascii="仿宋" w:eastAsia="仿宋" w:hAnsi="仿宋" w:cs="仿宋"/>
          <w:sz w:val="24"/>
        </w:rPr>
        <w:lastRenderedPageBreak/>
        <w:t>产的变现能力与投资者赎回需求的匹配；报告期内，本产品未发生重大流动性风险事件。</w:t>
      </w:r>
    </w:p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sz w:val="24"/>
        </w:rPr>
        <w:t xml:space="preserve">4.4 </w:t>
      </w:r>
      <w:r>
        <w:rPr>
          <w:rFonts w:ascii="仿宋" w:eastAsia="仿宋" w:hAnsi="仿宋" w:cs="仿宋" w:hint="eastAsia"/>
          <w:b/>
          <w:color w:val="000000"/>
          <w:sz w:val="24"/>
        </w:rPr>
        <w:t>报告期末</w:t>
      </w:r>
      <w:r>
        <w:rPr>
          <w:rFonts w:ascii="仿宋" w:eastAsia="仿宋" w:hAnsi="仿宋" w:cs="仿宋" w:hint="eastAsia"/>
          <w:b/>
          <w:color w:val="000000"/>
          <w:sz w:val="24"/>
        </w:rPr>
        <w:t>穿透前</w:t>
      </w:r>
      <w:r>
        <w:rPr>
          <w:rFonts w:ascii="仿宋" w:eastAsia="仿宋" w:hAnsi="仿宋" w:cs="仿宋" w:hint="eastAsia"/>
          <w:b/>
          <w:color w:val="000000"/>
          <w:sz w:val="24"/>
        </w:rPr>
        <w:t>投资组合分类</w:t>
      </w:r>
    </w:p>
    <w:tbl>
      <w:tblPr>
        <w:tblW w:w="8800" w:type="dxa"/>
        <w:tblInd w:w="-2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5169"/>
        <w:gridCol w:w="2800"/>
      </w:tblGrid>
      <w:tr w:rsidR="009F08E4">
        <w:trPr>
          <w:trHeight w:val="4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42.58%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1.71%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33.57%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</w:t>
            </w:r>
            <w:r>
              <w:rPr>
                <w:rFonts w:ascii="仿宋" w:eastAsia="仿宋" w:hAnsi="仿宋" w:cs="仿宋" w:hint="eastAsia"/>
                <w:sz w:val="24"/>
              </w:rPr>
              <w:t>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9.72%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12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12.42%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>
        <w:rPr>
          <w:rFonts w:ascii="仿宋" w:eastAsia="仿宋" w:hAnsi="仿宋" w:cs="仿宋" w:hint="eastAsia"/>
          <w:b/>
          <w:sz w:val="24"/>
        </w:rPr>
        <w:t>报告期末</w:t>
      </w:r>
      <w:r>
        <w:rPr>
          <w:rFonts w:ascii="仿宋" w:eastAsia="仿宋" w:hAnsi="仿宋" w:cs="仿宋" w:hint="eastAsia"/>
          <w:b/>
          <w:sz w:val="24"/>
        </w:rPr>
        <w:t>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8783" w:type="dxa"/>
        <w:tblInd w:w="-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5186"/>
        <w:gridCol w:w="2783"/>
      </w:tblGrid>
      <w:tr w:rsidR="009F08E4">
        <w:trPr>
          <w:trHeight w:val="4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44.54%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1.95%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41.66%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</w:t>
            </w:r>
            <w:r>
              <w:rPr>
                <w:rFonts w:ascii="仿宋" w:eastAsia="仿宋" w:hAnsi="仿宋" w:cs="仿宋" w:hint="eastAsia"/>
                <w:sz w:val="24"/>
              </w:rPr>
              <w:t>QDII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10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9.75%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 w:rsidR="009F08E4">
        <w:trPr>
          <w:trHeight w:val="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4.6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</w:p>
    <w:p w:rsidR="009F08E4" w:rsidRDefault="004760D5">
      <w:pPr>
        <w:adjustRightInd w:val="0"/>
        <w:snapToGrid w:val="0"/>
        <w:spacing w:line="560" w:lineRule="atLeast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pPr w:leftFromText="180" w:rightFromText="180" w:vertAnchor="text" w:horzAnchor="page" w:tblpXSpec="center" w:tblpY="411"/>
        <w:tblOverlap w:val="never"/>
        <w:tblW w:w="8769" w:type="dxa"/>
        <w:tblInd w:w="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9"/>
        <w:gridCol w:w="2557"/>
        <w:gridCol w:w="2350"/>
        <w:gridCol w:w="2803"/>
      </w:tblGrid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平安资管如意</w:t>
            </w:r>
            <w:r>
              <w:rPr>
                <w:rFonts w:ascii="仿宋" w:eastAsia="仿宋" w:hAnsi="仿宋" w:cs="仿宋" w:hint="eastAsia"/>
                <w:sz w:val="24"/>
              </w:rPr>
              <w:t>37</w:t>
            </w:r>
            <w:r>
              <w:rPr>
                <w:rFonts w:ascii="仿宋" w:eastAsia="仿宋" w:hAnsi="仿宋" w:cs="仿宋" w:hint="eastAsia"/>
                <w:sz w:val="24"/>
              </w:rPr>
              <w:t>号（货币市场类）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500,723,734.11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9.03%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号集合资金信托计划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477,836,800.00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8.61%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上海银行股份有限公司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年第</w:t>
            </w:r>
            <w:r>
              <w:rPr>
                <w:rFonts w:ascii="仿宋" w:eastAsia="仿宋" w:hAnsi="仿宋" w:cs="仿宋" w:hint="eastAsia"/>
                <w:sz w:val="24"/>
              </w:rPr>
              <w:t>155</w:t>
            </w:r>
            <w:r>
              <w:rPr>
                <w:rFonts w:ascii="仿宋" w:eastAsia="仿宋" w:hAnsi="仿宋" w:cs="仿宋" w:hint="eastAsia"/>
                <w:sz w:val="24"/>
              </w:rPr>
              <w:t>期同业存单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294,528,753.06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5.31%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交通银行股份有限公司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年第</w:t>
            </w:r>
            <w:r>
              <w:rPr>
                <w:rFonts w:ascii="仿宋" w:eastAsia="仿宋" w:hAnsi="仿宋" w:cs="仿宋" w:hint="eastAsia"/>
                <w:sz w:val="24"/>
              </w:rPr>
              <w:t>199</w:t>
            </w:r>
            <w:r>
              <w:rPr>
                <w:rFonts w:ascii="仿宋" w:eastAsia="仿宋" w:hAnsi="仿宋" w:cs="仿宋" w:hint="eastAsia"/>
                <w:sz w:val="24"/>
              </w:rPr>
              <w:t>期同业存单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294,277,656.36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5.30%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国家开发银行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年第十一期金融债券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200,373,074.38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3.61%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平安银行股份有限公司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年第</w:t>
            </w:r>
            <w:r>
              <w:rPr>
                <w:rFonts w:ascii="仿宋" w:eastAsia="仿宋" w:hAnsi="仿宋" w:cs="仿宋" w:hint="eastAsia"/>
                <w:sz w:val="24"/>
              </w:rPr>
              <w:t>108</w:t>
            </w:r>
            <w:r>
              <w:rPr>
                <w:rFonts w:ascii="仿宋" w:eastAsia="仿宋" w:hAnsi="仿宋" w:cs="仿宋" w:hint="eastAsia"/>
                <w:sz w:val="24"/>
              </w:rPr>
              <w:t>期同业存单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196,444,348.08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3.54%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宁波银行股份有限公司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年第</w:t>
            </w:r>
            <w:r>
              <w:rPr>
                <w:rFonts w:ascii="仿宋" w:eastAsia="仿宋" w:hAnsi="仿宋" w:cs="仿宋" w:hint="eastAsia"/>
                <w:sz w:val="24"/>
              </w:rPr>
              <w:t>253</w:t>
            </w:r>
            <w:r>
              <w:rPr>
                <w:rFonts w:ascii="仿宋" w:eastAsia="仿宋" w:hAnsi="仿宋" w:cs="仿宋" w:hint="eastAsia"/>
                <w:sz w:val="24"/>
              </w:rPr>
              <w:t>期同业存单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196,355,890.03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3.54%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太平洋稳健理财三号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149,761,312.78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2.70%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国家开发银行</w:t>
            </w:r>
            <w:r>
              <w:rPr>
                <w:rFonts w:ascii="仿宋" w:eastAsia="仿宋" w:hAnsi="仿宋" w:cs="仿宋" w:hint="eastAsia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</w:rPr>
              <w:t>年第十一期金融债券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102,080,338.47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1.84%</w:t>
            </w:r>
          </w:p>
        </w:tc>
      </w:tr>
      <w:tr w:rsidR="009F08E4">
        <w:trPr>
          <w:trHeight w:val="18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国家开发银行</w:t>
            </w:r>
            <w:r>
              <w:rPr>
                <w:rFonts w:ascii="仿宋" w:eastAsia="仿宋" w:hAnsi="仿宋" w:cs="仿宋" w:hint="eastAsia"/>
                <w:sz w:val="24"/>
              </w:rPr>
              <w:t>2022</w:t>
            </w:r>
            <w:r>
              <w:rPr>
                <w:rFonts w:ascii="仿宋" w:eastAsia="仿宋" w:hAnsi="仿宋" w:cs="仿宋" w:hint="eastAsia"/>
                <w:sz w:val="24"/>
              </w:rPr>
              <w:t>年第六期金融债券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100,684,388.40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1.81%</w:t>
            </w:r>
          </w:p>
        </w:tc>
      </w:tr>
    </w:tbl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4.7 </w:t>
      </w:r>
      <w:r>
        <w:rPr>
          <w:rFonts w:ascii="仿宋" w:eastAsia="仿宋" w:hAnsi="仿宋" w:cs="仿宋" w:hint="eastAsia"/>
          <w:b/>
          <w:sz w:val="24"/>
        </w:rPr>
        <w:t>报告期融资情况</w:t>
      </w:r>
    </w:p>
    <w:p w:rsidR="009F08E4" w:rsidRDefault="004760D5">
      <w:pPr>
        <w:adjustRightInd w:val="0"/>
        <w:snapToGrid w:val="0"/>
        <w:spacing w:line="560" w:lineRule="atLeast"/>
        <w:ind w:firstLineChars="2600" w:firstLine="624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767" w:type="dxa"/>
        <w:tblInd w:w="-21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6"/>
        <w:gridCol w:w="2667"/>
        <w:gridCol w:w="2334"/>
        <w:gridCol w:w="2800"/>
      </w:tblGrid>
      <w:tr w:rsidR="009F08E4">
        <w:trPr>
          <w:trHeight w:val="3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 w:rsidR="009F08E4">
        <w:trPr>
          <w:trHeight w:val="29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jc w:val="right"/>
              <w:rPr>
                <w:rFonts w:ascii="仿宋" w:eastAsia="仿宋" w:hAnsi="仿宋" w:cs="仿宋"/>
                <w:color w:val="0000FF"/>
                <w:kern w:val="0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315,069,913.88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jc w:val="right"/>
              <w:rPr>
                <w:rFonts w:ascii="仿宋" w:eastAsia="仿宋" w:hAnsi="仿宋" w:cs="仿宋"/>
                <w:color w:val="0000FF"/>
                <w:kern w:val="0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5.68%</w:t>
            </w:r>
          </w:p>
        </w:tc>
      </w:tr>
      <w:tr w:rsidR="009F08E4">
        <w:trPr>
          <w:trHeight w:val="29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jc w:val="right"/>
              <w:rPr>
                <w:rFonts w:ascii="仿宋" w:eastAsia="仿宋" w:hAnsi="仿宋" w:cs="仿宋"/>
                <w:color w:val="0000FF"/>
                <w:kern w:val="0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jc w:val="right"/>
              <w:rPr>
                <w:rFonts w:ascii="仿宋" w:eastAsia="仿宋" w:hAnsi="仿宋" w:cs="仿宋"/>
                <w:color w:val="0000FF"/>
                <w:kern w:val="0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 w:rsidR="009F08E4">
        <w:trPr>
          <w:trHeight w:val="29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jc w:val="right"/>
              <w:rPr>
                <w:rFonts w:ascii="仿宋" w:eastAsia="仿宋" w:hAnsi="仿宋" w:cs="仿宋"/>
                <w:color w:val="0000FF"/>
                <w:kern w:val="0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spacing w:line="560" w:lineRule="atLeast"/>
              <w:jc w:val="right"/>
              <w:rPr>
                <w:rFonts w:ascii="仿宋" w:eastAsia="仿宋" w:hAnsi="仿宋" w:cs="仿宋"/>
                <w:color w:val="0000FF"/>
                <w:kern w:val="0"/>
                <w:sz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9F08E4" w:rsidRDefault="004760D5">
      <w:pPr>
        <w:adjustRightInd w:val="0"/>
        <w:snapToGrid w:val="0"/>
        <w:spacing w:line="560" w:lineRule="atLeast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</w:t>
      </w:r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9F08E4" w:rsidRDefault="004760D5">
      <w:pPr>
        <w:adjustRightInd w:val="0"/>
        <w:snapToGrid w:val="0"/>
        <w:spacing w:line="560" w:lineRule="atLeast"/>
        <w:ind w:firstLineChars="2800" w:firstLine="6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单位：人民币元</w:t>
      </w:r>
    </w:p>
    <w:tbl>
      <w:tblPr>
        <w:tblpPr w:leftFromText="180" w:rightFromText="180" w:vertAnchor="text" w:horzAnchor="margin" w:tblpXSpec="center" w:tblpY="21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1337"/>
        <w:gridCol w:w="2042"/>
        <w:gridCol w:w="1072"/>
        <w:gridCol w:w="2018"/>
        <w:gridCol w:w="796"/>
        <w:gridCol w:w="1130"/>
        <w:gridCol w:w="772"/>
      </w:tblGrid>
      <w:tr w:rsidR="009F08E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E4" w:rsidRDefault="004760D5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9F08E4" w:rsidRDefault="009F08E4">
      <w:pPr>
        <w:adjustRightInd w:val="0"/>
        <w:snapToGrid w:val="0"/>
        <w:spacing w:line="560" w:lineRule="atLeast"/>
        <w:jc w:val="right"/>
        <w:rPr>
          <w:rFonts w:ascii="仿宋" w:eastAsia="仿宋" w:hAnsi="仿宋" w:cs="仿宋"/>
          <w:b/>
          <w:sz w:val="22"/>
          <w:szCs w:val="22"/>
        </w:rPr>
      </w:pPr>
    </w:p>
    <w:p w:rsidR="009F08E4" w:rsidRDefault="009F08E4">
      <w:pPr>
        <w:adjustRightInd w:val="0"/>
        <w:snapToGrid w:val="0"/>
        <w:spacing w:line="560" w:lineRule="atLeast"/>
        <w:rPr>
          <w:rFonts w:ascii="仿宋" w:eastAsia="仿宋" w:hAnsi="仿宋" w:cs="仿宋"/>
          <w:color w:val="0000FF"/>
          <w:kern w:val="0"/>
          <w:sz w:val="18"/>
          <w:szCs w:val="20"/>
        </w:rPr>
      </w:pPr>
    </w:p>
    <w:p w:rsidR="009F08E4" w:rsidRDefault="004760D5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 w:val="0"/>
          <w:sz w:val="24"/>
        </w:rPr>
        <w:t>§</w:t>
      </w:r>
      <w:r>
        <w:rPr>
          <w:rFonts w:ascii="仿宋" w:eastAsia="仿宋" w:hAnsi="仿宋" w:cs="仿宋" w:hint="eastAsia"/>
          <w:sz w:val="24"/>
        </w:rPr>
        <w:t xml:space="preserve">5  </w:t>
      </w:r>
      <w:r>
        <w:rPr>
          <w:rFonts w:ascii="仿宋" w:eastAsia="仿宋" w:hAnsi="仿宋" w:cs="仿宋" w:hint="eastAsia"/>
          <w:sz w:val="24"/>
        </w:rPr>
        <w:t>产品份额变动</w:t>
      </w:r>
    </w:p>
    <w:p w:rsidR="009F08E4" w:rsidRDefault="004760D5">
      <w:pPr>
        <w:adjustRightInd w:val="0"/>
        <w:snapToGrid w:val="0"/>
        <w:spacing w:line="560" w:lineRule="atLeas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9518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8"/>
        <w:gridCol w:w="4470"/>
      </w:tblGrid>
      <w:tr w:rsidR="009F08E4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FF"/>
                <w:kern w:val="0"/>
                <w:sz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1,346,370,341.97</w:t>
            </w:r>
          </w:p>
        </w:tc>
      </w:tr>
      <w:tr w:rsidR="009F08E4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adjustRightInd w:val="0"/>
              <w:snapToGrid w:val="0"/>
              <w:spacing w:line="560" w:lineRule="atLeast"/>
              <w:jc w:val="right"/>
              <w:rPr>
                <w:rFonts w:ascii="仿宋" w:eastAsia="仿宋" w:hAnsi="仿宋" w:cs="仿宋"/>
                <w:color w:val="0000FF"/>
                <w:kern w:val="0"/>
                <w:sz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5,547,782,893.66</w:t>
            </w:r>
          </w:p>
        </w:tc>
      </w:tr>
    </w:tbl>
    <w:p w:rsidR="009F08E4" w:rsidRDefault="009F08E4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</w:p>
    <w:p w:rsidR="009F08E4" w:rsidRDefault="009F08E4">
      <w:pPr>
        <w:spacing w:line="560" w:lineRule="atLeast"/>
        <w:rPr>
          <w:rFonts w:ascii="仿宋" w:eastAsia="仿宋" w:hAnsi="仿宋" w:cs="仿宋"/>
        </w:rPr>
      </w:pPr>
    </w:p>
    <w:p w:rsidR="009F08E4" w:rsidRDefault="004760D5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24"/>
          <w:szCs w:val="20"/>
        </w:rPr>
      </w:pPr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 w:hint="eastAsia"/>
          <w:bCs/>
          <w:sz w:val="24"/>
        </w:rPr>
        <w:t>6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前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名投资者信息</w:t>
      </w:r>
    </w:p>
    <w:p w:rsidR="009F08E4" w:rsidRDefault="009F08E4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tbl>
      <w:tblPr>
        <w:tblW w:w="9501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0"/>
        <w:gridCol w:w="2600"/>
        <w:gridCol w:w="2601"/>
      </w:tblGrid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机构类型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持有份额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份额占比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  <w:tr w:rsidR="009F08E4"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5,000,000.00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E4" w:rsidRDefault="004760D5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0.30%</w:t>
            </w:r>
          </w:p>
        </w:tc>
      </w:tr>
    </w:tbl>
    <w:p w:rsidR="009F08E4" w:rsidRDefault="009F08E4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9F08E4" w:rsidRDefault="004760D5">
      <w:pPr>
        <w:pStyle w:val="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  <w:szCs w:val="22"/>
        </w:rPr>
      </w:pPr>
      <w:r>
        <w:rPr>
          <w:rFonts w:ascii="仿宋" w:eastAsia="仿宋" w:hAnsi="仿宋" w:cs="仿宋" w:hint="eastAsia"/>
          <w:bCs/>
          <w:sz w:val="24"/>
          <w:szCs w:val="22"/>
        </w:rPr>
        <w:t>§</w:t>
      </w:r>
      <w:r>
        <w:rPr>
          <w:rFonts w:ascii="仿宋" w:eastAsia="仿宋" w:hAnsi="仿宋" w:cs="仿宋" w:hint="eastAsia"/>
          <w:bCs/>
          <w:sz w:val="24"/>
          <w:szCs w:val="22"/>
        </w:rPr>
        <w:t>7</w:t>
      </w:r>
      <w:r>
        <w:rPr>
          <w:rFonts w:ascii="仿宋" w:eastAsia="仿宋" w:hAnsi="仿宋" w:cs="仿宋" w:hint="eastAsia"/>
          <w:bCs/>
          <w:sz w:val="24"/>
          <w:szCs w:val="22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2"/>
        </w:rPr>
        <w:t>托管人报告</w:t>
      </w:r>
    </w:p>
    <w:p w:rsidR="009F08E4" w:rsidRDefault="004760D5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</w:t>
      </w:r>
      <w:r>
        <w:rPr>
          <w:rFonts w:ascii="仿宋" w:eastAsia="仿宋" w:hAnsi="仿宋" w:cs="仿宋" w:hint="eastAsia"/>
          <w:sz w:val="24"/>
        </w:rPr>
        <w:lastRenderedPageBreak/>
        <w:t>有人利益的行为，诚实信用、勤勉尽责地履行了托管人应尽的义务。</w:t>
      </w:r>
    </w:p>
    <w:p w:rsidR="009F08E4" w:rsidRDefault="004760D5">
      <w:pPr>
        <w:adjustRightInd w:val="0"/>
        <w:snapToGrid w:val="0"/>
        <w:spacing w:line="560" w:lineRule="atLeast"/>
        <w:ind w:firstLineChars="200" w:firstLine="480"/>
        <w:rPr>
          <w:rFonts w:ascii="仿宋" w:eastAsia="仿宋" w:hAnsi="仿宋" w:cs="仿宋"/>
          <w:bCs/>
          <w:sz w:val="24"/>
          <w:szCs w:val="18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9F08E4" w:rsidRDefault="009F08E4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9F08E4" w:rsidRDefault="009F08E4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9F08E4" w:rsidRDefault="009F08E4">
      <w:pPr>
        <w:spacing w:line="560" w:lineRule="atLeast"/>
        <w:ind w:left="360"/>
        <w:jc w:val="right"/>
        <w:rPr>
          <w:rFonts w:ascii="仿宋" w:eastAsia="仿宋" w:hAnsi="仿宋" w:cs="仿宋"/>
          <w:sz w:val="24"/>
          <w:szCs w:val="20"/>
        </w:rPr>
      </w:pPr>
    </w:p>
    <w:p w:rsidR="009F08E4" w:rsidRDefault="004760D5">
      <w:pPr>
        <w:spacing w:line="560" w:lineRule="atLeast"/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9F08E4" w:rsidRDefault="004760D5">
      <w:pPr>
        <w:spacing w:line="560" w:lineRule="atLeas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2022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19</w:t>
      </w:r>
      <w:r>
        <w:rPr>
          <w:rFonts w:ascii="仿宋" w:eastAsia="仿宋" w:hAnsi="仿宋" w:cs="仿宋" w:hint="eastAsia"/>
          <w:sz w:val="24"/>
        </w:rPr>
        <w:t>日</w:t>
      </w:r>
    </w:p>
    <w:sectPr w:rsidR="009F08E4" w:rsidSect="009F08E4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D5" w:rsidRDefault="004760D5" w:rsidP="009F08E4">
      <w:pPr>
        <w:spacing w:after="0" w:line="240" w:lineRule="auto"/>
      </w:pPr>
      <w:r>
        <w:separator/>
      </w:r>
    </w:p>
  </w:endnote>
  <w:endnote w:type="continuationSeparator" w:id="1">
    <w:p w:rsidR="004760D5" w:rsidRDefault="004760D5" w:rsidP="009F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D5" w:rsidRDefault="004760D5" w:rsidP="009F08E4">
      <w:pPr>
        <w:spacing w:after="0" w:line="240" w:lineRule="auto"/>
      </w:pPr>
      <w:r>
        <w:separator/>
      </w:r>
    </w:p>
  </w:footnote>
  <w:footnote w:type="continuationSeparator" w:id="1">
    <w:p w:rsidR="004760D5" w:rsidRDefault="004760D5" w:rsidP="009F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E4" w:rsidRDefault="004760D5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9F08E4"/>
    <w:rsid w:val="004760D5"/>
    <w:rsid w:val="009F08E4"/>
    <w:rsid w:val="00C43679"/>
    <w:rsid w:val="1A1F338B"/>
    <w:rsid w:val="1EC165DC"/>
    <w:rsid w:val="255B091E"/>
    <w:rsid w:val="6ED0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8E4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F08E4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9F08E4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rsid w:val="009F08E4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9F08E4"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a4">
    <w:name w:val="footer"/>
    <w:basedOn w:val="a"/>
    <w:qFormat/>
    <w:rsid w:val="009F08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F08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9F08E4"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">
    <w:name w:val="正文文本 Char"/>
    <w:basedOn w:val="a0"/>
    <w:link w:val="a3"/>
    <w:qFormat/>
    <w:rsid w:val="009F08E4"/>
    <w:rPr>
      <w:rFonts w:ascii="Times New Roman" w:eastAsia="方正仿宋简体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564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张锡琴</cp:lastModifiedBy>
  <cp:revision>2</cp:revision>
  <dcterms:created xsi:type="dcterms:W3CDTF">2024-07-04T06:29:00Z</dcterms:created>
  <dcterms:modified xsi:type="dcterms:W3CDTF">2024-07-04T06:29:00Z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