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34" w:rsidRDefault="00401734">
      <w:pPr>
        <w:spacing w:line="560" w:lineRule="atLeast"/>
        <w:jc w:val="center"/>
        <w:rPr>
          <w:rFonts w:ascii="仿宋" w:eastAsia="仿宋" w:hAnsi="仿宋" w:cs="仿宋"/>
          <w:b/>
          <w:sz w:val="32"/>
          <w:szCs w:val="20"/>
        </w:rPr>
      </w:pPr>
    </w:p>
    <w:p w:rsidR="00401734" w:rsidRDefault="00401734">
      <w:pPr>
        <w:adjustRightInd w:val="0"/>
        <w:snapToGrid w:val="0"/>
        <w:spacing w:line="560" w:lineRule="atLeast"/>
        <w:jc w:val="center"/>
        <w:rPr>
          <w:rFonts w:ascii="仿宋" w:eastAsia="仿宋" w:hAnsi="仿宋" w:cs="仿宋"/>
          <w:sz w:val="24"/>
        </w:rPr>
      </w:pPr>
    </w:p>
    <w:p w:rsidR="00401734" w:rsidRDefault="006112B6">
      <w:pPr>
        <w:pStyle w:val="2"/>
        <w:keepNext w:val="0"/>
        <w:keepLines w:val="0"/>
        <w:autoSpaceDE w:val="0"/>
        <w:autoSpaceDN w:val="0"/>
        <w:spacing w:before="220" w:line="560" w:lineRule="atLeast"/>
        <w:jc w:val="center"/>
        <w:rPr>
          <w:rFonts w:ascii="仿宋" w:eastAsia="仿宋" w:hAnsi="仿宋" w:cs="仿宋"/>
          <w:bCs/>
          <w:kern w:val="0"/>
          <w:sz w:val="52"/>
          <w:szCs w:val="52"/>
          <w:lang w:bidi="zh-CN"/>
        </w:rPr>
      </w:pPr>
      <w:r>
        <w:rPr>
          <w:rFonts w:ascii="仿宋" w:eastAsia="仿宋" w:hAnsi="仿宋" w:cs="仿宋" w:hint="eastAsia"/>
          <w:bCs/>
          <w:kern w:val="0"/>
          <w:sz w:val="52"/>
          <w:szCs w:val="52"/>
          <w:lang w:bidi="zh-CN"/>
        </w:rPr>
        <w:t>“幸福</w:t>
      </w:r>
      <w:r>
        <w:rPr>
          <w:rFonts w:ascii="仿宋" w:eastAsia="仿宋" w:hAnsi="仿宋" w:cs="仿宋" w:hint="eastAsia"/>
          <w:bCs/>
          <w:kern w:val="0"/>
          <w:sz w:val="52"/>
          <w:szCs w:val="52"/>
          <w:lang w:bidi="zh-CN"/>
        </w:rPr>
        <w:t>99</w:t>
      </w:r>
      <w:r>
        <w:rPr>
          <w:rFonts w:ascii="仿宋" w:eastAsia="仿宋" w:hAnsi="仿宋" w:cs="仿宋" w:hint="eastAsia"/>
          <w:bCs/>
          <w:kern w:val="0"/>
          <w:sz w:val="52"/>
          <w:szCs w:val="52"/>
          <w:lang w:bidi="zh-CN"/>
        </w:rPr>
        <w:t>”月添益</w:t>
      </w:r>
      <w:r>
        <w:rPr>
          <w:rFonts w:ascii="仿宋" w:eastAsia="仿宋" w:hAnsi="仿宋" w:cs="仿宋" w:hint="eastAsia"/>
          <w:bCs/>
          <w:kern w:val="0"/>
          <w:sz w:val="52"/>
          <w:szCs w:val="52"/>
          <w:lang w:bidi="zh-CN"/>
        </w:rPr>
        <w:t>2001</w:t>
      </w:r>
      <w:r>
        <w:rPr>
          <w:rFonts w:ascii="仿宋" w:eastAsia="仿宋" w:hAnsi="仿宋" w:cs="仿宋" w:hint="eastAsia"/>
          <w:bCs/>
          <w:kern w:val="0"/>
          <w:sz w:val="52"/>
          <w:szCs w:val="52"/>
          <w:lang w:bidi="zh-CN"/>
        </w:rPr>
        <w:t>期银行理财计划</w:t>
      </w:r>
    </w:p>
    <w:p w:rsidR="00401734" w:rsidRDefault="006112B6">
      <w:pPr>
        <w:autoSpaceDE w:val="0"/>
        <w:autoSpaceDN w:val="0"/>
        <w:spacing w:line="560" w:lineRule="atLeast"/>
        <w:jc w:val="center"/>
        <w:rPr>
          <w:rFonts w:ascii="仿宋" w:eastAsia="仿宋" w:hAnsi="仿宋" w:cs="仿宋"/>
          <w:b/>
          <w:bCs/>
          <w:kern w:val="0"/>
          <w:sz w:val="44"/>
          <w:szCs w:val="44"/>
          <w:lang w:bidi="zh-CN"/>
        </w:rPr>
      </w:pPr>
      <w:r>
        <w:rPr>
          <w:rFonts w:ascii="仿宋" w:eastAsia="仿宋" w:hAnsi="仿宋" w:cs="仿宋" w:hint="eastAsia"/>
          <w:b/>
          <w:bCs/>
          <w:kern w:val="0"/>
          <w:sz w:val="44"/>
          <w:szCs w:val="44"/>
          <w:lang w:bidi="zh-CN"/>
        </w:rPr>
        <w:t>2022</w:t>
      </w:r>
      <w:r>
        <w:rPr>
          <w:rFonts w:ascii="仿宋" w:eastAsia="仿宋" w:hAnsi="仿宋" w:cs="仿宋"/>
          <w:b/>
          <w:sz w:val="44"/>
        </w:rPr>
        <w:t>年第</w:t>
      </w:r>
      <w:r>
        <w:rPr>
          <w:rFonts w:ascii="仿宋" w:eastAsia="仿宋" w:hAnsi="仿宋" w:cs="仿宋"/>
          <w:b/>
          <w:sz w:val="44"/>
        </w:rPr>
        <w:t>3</w:t>
      </w:r>
      <w:r>
        <w:rPr>
          <w:rFonts w:ascii="仿宋" w:eastAsia="仿宋" w:hAnsi="仿宋" w:cs="仿宋"/>
          <w:b/>
          <w:sz w:val="44"/>
        </w:rPr>
        <w:t>季度报告</w:t>
      </w:r>
    </w:p>
    <w:p w:rsidR="00401734" w:rsidRDefault="00401734">
      <w:pPr>
        <w:spacing w:line="560" w:lineRule="atLeast"/>
        <w:jc w:val="center"/>
        <w:rPr>
          <w:rFonts w:ascii="仿宋" w:eastAsia="仿宋" w:hAnsi="仿宋" w:cs="仿宋"/>
          <w:color w:val="0000FF"/>
          <w:kern w:val="0"/>
          <w:sz w:val="18"/>
          <w:szCs w:val="20"/>
        </w:rPr>
      </w:pPr>
    </w:p>
    <w:p w:rsidR="00401734" w:rsidRDefault="00401734">
      <w:pPr>
        <w:spacing w:line="560" w:lineRule="atLeast"/>
        <w:rPr>
          <w:rFonts w:ascii="仿宋" w:eastAsia="仿宋" w:hAnsi="仿宋" w:cs="仿宋"/>
          <w:sz w:val="24"/>
        </w:rPr>
      </w:pPr>
    </w:p>
    <w:p w:rsidR="00401734" w:rsidRDefault="00401734">
      <w:pPr>
        <w:spacing w:line="560" w:lineRule="atLeast"/>
        <w:jc w:val="center"/>
        <w:rPr>
          <w:rFonts w:ascii="仿宋" w:eastAsia="仿宋" w:hAnsi="仿宋" w:cs="仿宋"/>
          <w:sz w:val="24"/>
        </w:rPr>
      </w:pPr>
    </w:p>
    <w:p w:rsidR="00401734" w:rsidRDefault="006112B6">
      <w:pPr>
        <w:spacing w:line="560" w:lineRule="atLeas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01734" w:rsidRDefault="006112B6">
      <w:pPr>
        <w:spacing w:line="560" w:lineRule="atLeas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01734" w:rsidRDefault="00401734">
      <w:pPr>
        <w:spacing w:line="560" w:lineRule="atLeast"/>
        <w:jc w:val="center"/>
        <w:rPr>
          <w:rFonts w:ascii="仿宋" w:eastAsia="仿宋" w:hAnsi="仿宋" w:cs="仿宋"/>
          <w:sz w:val="24"/>
        </w:rPr>
      </w:pPr>
    </w:p>
    <w:p w:rsidR="00401734" w:rsidRDefault="00401734">
      <w:pPr>
        <w:spacing w:line="560" w:lineRule="atLeast"/>
        <w:jc w:val="center"/>
        <w:rPr>
          <w:rFonts w:ascii="仿宋" w:eastAsia="仿宋" w:hAnsi="仿宋" w:cs="仿宋"/>
          <w:sz w:val="24"/>
        </w:rPr>
      </w:pPr>
    </w:p>
    <w:p w:rsidR="00401734" w:rsidRDefault="006112B6">
      <w:pPr>
        <w:spacing w:line="560" w:lineRule="atLeas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2022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>10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>19</w:t>
      </w:r>
      <w:r>
        <w:rPr>
          <w:rFonts w:ascii="仿宋" w:eastAsia="仿宋" w:hAnsi="仿宋" w:cs="仿宋" w:hint="eastAsia"/>
          <w:sz w:val="24"/>
        </w:rPr>
        <w:t>日</w:t>
      </w:r>
      <w:r>
        <w:br w:type="page"/>
      </w:r>
    </w:p>
    <w:p w:rsidR="00401734" w:rsidRDefault="006112B6">
      <w:pPr>
        <w:pStyle w:val="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§</w:t>
      </w:r>
      <w:r>
        <w:rPr>
          <w:rFonts w:ascii="仿宋" w:eastAsia="仿宋" w:hAnsi="仿宋" w:cs="仿宋" w:hint="eastAsia"/>
          <w:sz w:val="24"/>
        </w:rPr>
        <w:t xml:space="preserve">1  </w:t>
      </w:r>
      <w:r>
        <w:rPr>
          <w:rFonts w:ascii="仿宋" w:eastAsia="仿宋" w:hAnsi="仿宋" w:cs="仿宋" w:hint="eastAsia"/>
          <w:sz w:val="24"/>
        </w:rPr>
        <w:t>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 w:rsidR="00401734"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 w:rsidP="0001462B">
            <w:pPr>
              <w:widowControl/>
              <w:adjustRightInd w:val="0"/>
              <w:snapToGrid w:val="0"/>
              <w:spacing w:line="560" w:lineRule="atLeast"/>
              <w:ind w:firstLineChars="200" w:firstLine="48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01734" w:rsidRDefault="006112B6" w:rsidP="0001462B">
            <w:pPr>
              <w:widowControl/>
              <w:adjustRightInd w:val="0"/>
              <w:snapToGrid w:val="0"/>
              <w:spacing w:line="560" w:lineRule="atLeast"/>
              <w:ind w:firstLineChars="200" w:firstLine="48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2022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年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9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月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30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日复核了本报告中的财务指标、净值表现和投资组合报告等内容，保证复核内容不存在虚假记载、误导性陈述或者重大遗漏。</w:t>
            </w:r>
          </w:p>
          <w:p w:rsidR="00401734" w:rsidRDefault="006112B6" w:rsidP="0001462B">
            <w:pPr>
              <w:widowControl/>
              <w:adjustRightInd w:val="0"/>
              <w:snapToGrid w:val="0"/>
              <w:spacing w:line="560" w:lineRule="atLeast"/>
              <w:ind w:firstLineChars="200" w:firstLine="48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01734" w:rsidRDefault="006112B6" w:rsidP="0001462B">
            <w:pPr>
              <w:widowControl/>
              <w:adjustRightInd w:val="0"/>
              <w:snapToGrid w:val="0"/>
              <w:spacing w:line="560" w:lineRule="atLeast"/>
              <w:ind w:firstLineChars="200" w:firstLine="48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01734" w:rsidRDefault="006112B6" w:rsidP="0001462B">
            <w:pPr>
              <w:widowControl/>
              <w:adjustRightInd w:val="0"/>
              <w:snapToGrid w:val="0"/>
              <w:spacing w:line="560" w:lineRule="atLeast"/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2022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年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7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月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1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日起至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2022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年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9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月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30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日止。</w:t>
            </w:r>
          </w:p>
        </w:tc>
      </w:tr>
    </w:tbl>
    <w:p w:rsidR="00401734" w:rsidRDefault="00401734">
      <w:pPr>
        <w:spacing w:line="560" w:lineRule="atLeast"/>
        <w:rPr>
          <w:rStyle w:val="Char"/>
          <w:rFonts w:ascii="仿宋" w:eastAsia="仿宋" w:hAnsi="仿宋" w:cs="仿宋"/>
          <w:color w:val="0000FF"/>
          <w:sz w:val="18"/>
        </w:rPr>
      </w:pPr>
    </w:p>
    <w:p w:rsidR="00401734" w:rsidRDefault="00401734">
      <w:pPr>
        <w:spacing w:line="560" w:lineRule="atLeast"/>
        <w:rPr>
          <w:rStyle w:val="Char"/>
          <w:rFonts w:ascii="仿宋" w:eastAsia="仿宋" w:hAnsi="仿宋" w:cs="仿宋"/>
          <w:color w:val="0000FF"/>
          <w:sz w:val="18"/>
        </w:rPr>
      </w:pPr>
    </w:p>
    <w:p w:rsidR="00401734" w:rsidRDefault="006112B6">
      <w:pPr>
        <w:pStyle w:val="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 xml:space="preserve">2  </w:t>
      </w:r>
      <w:r>
        <w:rPr>
          <w:rFonts w:ascii="仿宋" w:eastAsia="仿宋" w:hAnsi="仿宋" w:cs="仿宋" w:hint="eastAsia"/>
          <w:sz w:val="24"/>
        </w:rPr>
        <w:t>产品概况</w:t>
      </w:r>
    </w:p>
    <w:p w:rsidR="00401734" w:rsidRDefault="006112B6">
      <w:pPr>
        <w:adjustRightInd w:val="0"/>
        <w:snapToGrid w:val="0"/>
        <w:spacing w:line="560" w:lineRule="atLeast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 xml:space="preserve">2.1 </w:t>
      </w:r>
      <w:r>
        <w:rPr>
          <w:rFonts w:ascii="仿宋" w:eastAsia="仿宋" w:hAnsi="仿宋" w:cs="仿宋" w:hint="eastAsia"/>
          <w:b/>
          <w:sz w:val="24"/>
        </w:rPr>
        <w:t>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 w:rsidR="00401734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“幸福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99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”月添益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2001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期银行理财计划</w:t>
            </w:r>
          </w:p>
        </w:tc>
      </w:tr>
      <w:tr w:rsidR="00401734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TYG1M2001</w:t>
            </w:r>
          </w:p>
        </w:tc>
      </w:tr>
      <w:tr w:rsidR="00401734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Z7002221000271</w:t>
            </w:r>
          </w:p>
        </w:tc>
      </w:tr>
      <w:tr w:rsidR="00401734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24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</w:tc>
      </w:tr>
      <w:tr w:rsidR="00401734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-</w:t>
            </w:r>
          </w:p>
        </w:tc>
      </w:tr>
      <w:tr w:rsidR="00401734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 w:rsidR="00401734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开放式净值型</w:t>
            </w:r>
          </w:p>
        </w:tc>
      </w:tr>
      <w:tr w:rsidR="00401734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 w:rsidR="00401734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%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2.80%-4.00%</w:t>
            </w:r>
          </w:p>
        </w:tc>
      </w:tr>
      <w:tr w:rsidR="00401734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规模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2,141,180,835.57</w:t>
            </w:r>
          </w:p>
        </w:tc>
      </w:tr>
      <w:tr w:rsidR="00401734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%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100.06%</w:t>
            </w:r>
          </w:p>
        </w:tc>
      </w:tr>
      <w:tr w:rsidR="00401734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 w:rsidR="00401734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 w:rsidR="00401734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01734" w:rsidRDefault="006112B6">
      <w:pPr>
        <w:adjustRightInd w:val="0"/>
        <w:snapToGrid w:val="0"/>
        <w:spacing w:line="560" w:lineRule="atLeast"/>
        <w:rPr>
          <w:rFonts w:ascii="仿宋" w:eastAsia="仿宋" w:hAnsi="仿宋" w:cs="仿宋"/>
          <w:sz w:val="18"/>
          <w:szCs w:val="20"/>
        </w:rPr>
      </w:pPr>
      <w:r>
        <w:rPr>
          <w:rFonts w:ascii="仿宋" w:eastAsia="仿宋" w:hAnsi="仿宋" w:cs="仿宋" w:hint="eastAsia"/>
          <w:sz w:val="18"/>
        </w:rPr>
        <w:t>*</w:t>
      </w:r>
      <w:r>
        <w:rPr>
          <w:rFonts w:ascii="仿宋" w:eastAsia="仿宋" w:hAnsi="仿宋" w:cs="仿宋" w:hint="eastAsia"/>
          <w:sz w:val="18"/>
        </w:rPr>
        <w:t>杠杆水平</w:t>
      </w:r>
      <w:r>
        <w:rPr>
          <w:rFonts w:ascii="仿宋" w:eastAsia="仿宋" w:hAnsi="仿宋" w:cs="仿宋" w:hint="eastAsia"/>
          <w:sz w:val="18"/>
        </w:rPr>
        <w:t>=</w:t>
      </w:r>
      <w:r>
        <w:rPr>
          <w:rFonts w:ascii="仿宋" w:eastAsia="仿宋" w:hAnsi="仿宋" w:cs="仿宋" w:hint="eastAsia"/>
          <w:sz w:val="18"/>
        </w:rPr>
        <w:t>总资产</w:t>
      </w:r>
      <w:r>
        <w:rPr>
          <w:rFonts w:ascii="仿宋" w:eastAsia="仿宋" w:hAnsi="仿宋" w:cs="仿宋" w:hint="eastAsia"/>
          <w:sz w:val="18"/>
        </w:rPr>
        <w:t>/</w:t>
      </w:r>
      <w:r>
        <w:rPr>
          <w:rFonts w:ascii="仿宋" w:eastAsia="仿宋" w:hAnsi="仿宋" w:cs="仿宋" w:hint="eastAsia"/>
          <w:sz w:val="18"/>
        </w:rPr>
        <w:t>理财产品净资产，理财产品净资产</w:t>
      </w:r>
      <w:r>
        <w:rPr>
          <w:rFonts w:ascii="仿宋" w:eastAsia="仿宋" w:hAnsi="仿宋" w:cs="仿宋" w:hint="eastAsia"/>
          <w:sz w:val="18"/>
        </w:rPr>
        <w:t>=</w:t>
      </w:r>
      <w:r>
        <w:rPr>
          <w:rFonts w:ascii="仿宋" w:eastAsia="仿宋" w:hAnsi="仿宋" w:cs="仿宋" w:hint="eastAsia"/>
          <w:sz w:val="18"/>
        </w:rPr>
        <w:t>总资产</w:t>
      </w:r>
      <w:r>
        <w:rPr>
          <w:rFonts w:ascii="仿宋" w:eastAsia="仿宋" w:hAnsi="仿宋" w:cs="仿宋" w:hint="eastAsia"/>
          <w:sz w:val="18"/>
        </w:rPr>
        <w:t>-</w:t>
      </w:r>
      <w:r>
        <w:rPr>
          <w:rFonts w:ascii="仿宋" w:eastAsia="仿宋" w:hAnsi="仿宋" w:cs="仿宋" w:hint="eastAsia"/>
          <w:sz w:val="18"/>
        </w:rPr>
        <w:t>总负债</w:t>
      </w:r>
    </w:p>
    <w:p w:rsidR="00401734" w:rsidRDefault="00401734">
      <w:pPr>
        <w:adjustRightInd w:val="0"/>
        <w:snapToGrid w:val="0"/>
        <w:spacing w:line="560" w:lineRule="atLeast"/>
        <w:rPr>
          <w:rFonts w:ascii="仿宋" w:eastAsia="仿宋" w:hAnsi="仿宋" w:cs="仿宋"/>
          <w:color w:val="000000"/>
          <w:sz w:val="24"/>
        </w:rPr>
      </w:pPr>
    </w:p>
    <w:p w:rsidR="00401734" w:rsidRDefault="00401734">
      <w:pPr>
        <w:adjustRightInd w:val="0"/>
        <w:snapToGrid w:val="0"/>
        <w:spacing w:line="560" w:lineRule="atLeast"/>
        <w:rPr>
          <w:rFonts w:ascii="仿宋" w:eastAsia="仿宋" w:hAnsi="仿宋" w:cs="仿宋"/>
          <w:color w:val="000000"/>
          <w:sz w:val="24"/>
        </w:rPr>
      </w:pPr>
    </w:p>
    <w:p w:rsidR="00401734" w:rsidRDefault="006112B6">
      <w:pPr>
        <w:pStyle w:val="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§</w:t>
      </w:r>
      <w:r>
        <w:rPr>
          <w:rFonts w:ascii="仿宋" w:eastAsia="仿宋" w:hAnsi="仿宋" w:cs="仿宋" w:hint="eastAsia"/>
          <w:sz w:val="24"/>
        </w:rPr>
        <w:t xml:space="preserve">3  </w:t>
      </w:r>
      <w:r>
        <w:rPr>
          <w:rFonts w:ascii="仿宋" w:eastAsia="仿宋" w:hAnsi="仿宋" w:cs="仿宋" w:hint="eastAsia"/>
          <w:sz w:val="24"/>
        </w:rPr>
        <w:t>主要财务指标和产品净值表现</w:t>
      </w:r>
    </w:p>
    <w:p w:rsidR="00401734" w:rsidRDefault="006112B6">
      <w:pPr>
        <w:adjustRightInd w:val="0"/>
        <w:snapToGrid w:val="0"/>
        <w:spacing w:line="560" w:lineRule="atLeas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3.1 </w:t>
      </w:r>
      <w:r>
        <w:rPr>
          <w:rFonts w:ascii="仿宋" w:eastAsia="仿宋" w:hAnsi="仿宋" w:cs="仿宋" w:hint="eastAsia"/>
          <w:b/>
          <w:sz w:val="24"/>
        </w:rPr>
        <w:t>主要财务指标和产品净值表现</w:t>
      </w:r>
    </w:p>
    <w:p w:rsidR="00401734" w:rsidRDefault="006112B6" w:rsidP="0001462B">
      <w:pPr>
        <w:adjustRightInd w:val="0"/>
        <w:snapToGrid w:val="0"/>
        <w:spacing w:line="560" w:lineRule="atLeast"/>
        <w:ind w:left="5143" w:hangingChars="2143" w:hanging="5143"/>
        <w:jc w:val="righ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24"/>
        </w:rPr>
        <w:t>单位：元、</w:t>
      </w:r>
      <w:r>
        <w:rPr>
          <w:rFonts w:ascii="仿宋" w:eastAsia="仿宋" w:hAnsi="仿宋" w:cs="仿宋" w:hint="eastAsia"/>
          <w:sz w:val="24"/>
        </w:rPr>
        <w:t>份、</w:t>
      </w:r>
      <w:r>
        <w:rPr>
          <w:rFonts w:ascii="仿宋" w:eastAsia="仿宋" w:hAnsi="仿宋" w:cs="仿宋" w:hint="eastAsia"/>
          <w:sz w:val="24"/>
        </w:rPr>
        <w:t>元</w:t>
      </w:r>
      <w:r>
        <w:rPr>
          <w:rFonts w:ascii="仿宋" w:eastAsia="仿宋" w:hAnsi="仿宋" w:cs="仿宋" w:hint="eastAsia"/>
          <w:sz w:val="24"/>
        </w:rPr>
        <w:t>/</w:t>
      </w:r>
      <w:r>
        <w:rPr>
          <w:rFonts w:ascii="仿宋" w:eastAsia="仿宋" w:hAnsi="仿宋" w:cs="仿宋" w:hint="eastAsia"/>
          <w:sz w:val="24"/>
        </w:rPr>
        <w:t>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0"/>
        <w:gridCol w:w="1550"/>
        <w:gridCol w:w="981"/>
        <w:gridCol w:w="252"/>
        <w:gridCol w:w="1683"/>
        <w:gridCol w:w="2612"/>
      </w:tblGrid>
      <w:tr w:rsidR="00401734"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7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-2022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9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30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日）</w:t>
            </w:r>
          </w:p>
        </w:tc>
      </w:tr>
      <w:tr w:rsidR="00401734"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left"/>
              <w:rPr>
                <w:rStyle w:val="Char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期末产品资产净值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2,141,180,835.57</w:t>
            </w:r>
          </w:p>
        </w:tc>
      </w:tr>
      <w:tr w:rsidR="00401734"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期末产品总份额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1,955,576,008.10</w:t>
            </w:r>
          </w:p>
        </w:tc>
      </w:tr>
      <w:tr w:rsidR="00401734">
        <w:trPr>
          <w:trHeight w:val="158"/>
        </w:trPr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left"/>
              <w:rPr>
                <w:rStyle w:val="Char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期末产品份额单位净值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1.0949</w:t>
            </w:r>
          </w:p>
        </w:tc>
      </w:tr>
      <w:tr w:rsidR="00401734">
        <w:trPr>
          <w:trHeight w:val="158"/>
        </w:trPr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left"/>
              <w:rPr>
                <w:rStyle w:val="Char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期末产品份额累计净值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1.0949</w:t>
            </w:r>
          </w:p>
        </w:tc>
      </w:tr>
      <w:tr w:rsidR="00401734">
        <w:trPr>
          <w:trHeight w:val="158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color w:val="0000FF"/>
                <w:sz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R="00401734">
        <w:trPr>
          <w:trHeight w:val="158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份额净值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</w:tbl>
    <w:p w:rsidR="00401734" w:rsidRDefault="00401734">
      <w:pPr>
        <w:adjustRightInd w:val="0"/>
        <w:snapToGrid w:val="0"/>
        <w:spacing w:line="560" w:lineRule="atLeast"/>
        <w:rPr>
          <w:rFonts w:ascii="仿宋" w:eastAsia="仿宋" w:hAnsi="仿宋" w:cs="仿宋"/>
          <w:color w:val="404040"/>
          <w:kern w:val="0"/>
          <w:sz w:val="18"/>
        </w:rPr>
      </w:pPr>
    </w:p>
    <w:p w:rsidR="00401734" w:rsidRDefault="00401734">
      <w:pPr>
        <w:adjustRightInd w:val="0"/>
        <w:snapToGrid w:val="0"/>
        <w:spacing w:line="560" w:lineRule="atLeast"/>
        <w:rPr>
          <w:rFonts w:ascii="仿宋" w:eastAsia="仿宋" w:hAnsi="仿宋" w:cs="仿宋"/>
          <w:color w:val="404040"/>
          <w:kern w:val="0"/>
        </w:rPr>
      </w:pPr>
    </w:p>
    <w:p w:rsidR="00401734" w:rsidRDefault="006112B6">
      <w:pPr>
        <w:pStyle w:val="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§</w:t>
      </w:r>
      <w:r>
        <w:rPr>
          <w:rFonts w:ascii="仿宋" w:eastAsia="仿宋" w:hAnsi="仿宋" w:cs="仿宋" w:hint="eastAsia"/>
          <w:color w:val="000000"/>
          <w:sz w:val="24"/>
        </w:rPr>
        <w:t xml:space="preserve">4  </w:t>
      </w:r>
      <w:r>
        <w:rPr>
          <w:rFonts w:ascii="仿宋" w:eastAsia="仿宋" w:hAnsi="仿宋" w:cs="仿宋" w:hint="eastAsia"/>
          <w:color w:val="000000"/>
          <w:sz w:val="24"/>
        </w:rPr>
        <w:t>投资组合报告</w:t>
      </w:r>
    </w:p>
    <w:p w:rsidR="00401734" w:rsidRDefault="006112B6">
      <w:pPr>
        <w:spacing w:line="560" w:lineRule="atLeas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color w:val="000000"/>
          <w:sz w:val="24"/>
        </w:rPr>
        <w:t>4.1</w:t>
      </w:r>
      <w:r>
        <w:rPr>
          <w:rFonts w:ascii="仿宋" w:eastAsia="仿宋" w:hAnsi="仿宋" w:cs="仿宋" w:hint="eastAsia"/>
          <w:b/>
          <w:sz w:val="24"/>
        </w:rPr>
        <w:t>报告期内产品投资策略与回顾</w:t>
      </w:r>
    </w:p>
    <w:p w:rsidR="00401734" w:rsidRDefault="006112B6" w:rsidP="0001462B">
      <w:pPr>
        <w:spacing w:line="560" w:lineRule="atLeast"/>
        <w:ind w:firstLineChars="169" w:firstLine="406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三季度以来，国内经济总体延续呈现弱复苏态势，基建相关高频数据出现回升，制造业投资保持稳健增长，但房地产相关指标依旧疲弱，消费受疫情和居民收入增速放缓影响恢复较慢，出口增速开始回落，经济仍面临一定压力。同时海外美元进入强势周期，全球经济和金融市场不确定性较大，在此背景下，国内货币政策有望保持相对宽松。</w:t>
      </w:r>
      <w:r>
        <w:rPr>
          <w:rFonts w:ascii="仿宋" w:eastAsia="仿宋" w:hAnsi="仿宋" w:cs="仿宋" w:hint="eastAsia"/>
          <w:sz w:val="24"/>
        </w:rPr>
        <w:cr/>
      </w:r>
      <w:r>
        <w:rPr>
          <w:rFonts w:ascii="仿宋" w:eastAsia="仿宋" w:hAnsi="仿宋" w:cs="仿宋" w:hint="eastAsia"/>
          <w:sz w:val="24"/>
        </w:rPr>
        <w:t>债券市场方面，债券收益率先下后上，</w:t>
      </w:r>
      <w:r>
        <w:rPr>
          <w:rFonts w:ascii="仿宋" w:eastAsia="仿宋" w:hAnsi="仿宋" w:cs="仿宋" w:hint="eastAsia"/>
          <w:sz w:val="24"/>
        </w:rPr>
        <w:t>8</w:t>
      </w:r>
      <w:r>
        <w:rPr>
          <w:rFonts w:ascii="仿宋" w:eastAsia="仿宋" w:hAnsi="仿宋" w:cs="仿宋" w:hint="eastAsia"/>
          <w:sz w:val="24"/>
        </w:rPr>
        <w:t>月央行超预期降息带动债券收益率大幅下行，利率债收益率一度接近</w:t>
      </w:r>
      <w:r>
        <w:rPr>
          <w:rFonts w:ascii="仿宋" w:eastAsia="仿宋" w:hAnsi="仿宋" w:cs="仿宋" w:hint="eastAsia"/>
          <w:sz w:val="24"/>
        </w:rPr>
        <w:t>2020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 w:hint="eastAsia"/>
          <w:sz w:val="24"/>
        </w:rPr>
        <w:t>月低点，信用利差大幅压缩，资产荒再现。但</w:t>
      </w:r>
      <w:r>
        <w:rPr>
          <w:rFonts w:ascii="仿宋" w:eastAsia="仿宋" w:hAnsi="仿宋" w:cs="仿宋" w:hint="eastAsia"/>
          <w:sz w:val="24"/>
        </w:rPr>
        <w:t>9</w:t>
      </w:r>
      <w:r>
        <w:rPr>
          <w:rFonts w:ascii="仿宋" w:eastAsia="仿宋" w:hAnsi="仿宋" w:cs="仿宋" w:hint="eastAsia"/>
          <w:sz w:val="24"/>
        </w:rPr>
        <w:t>月以来，受美联储加息、人民币汇率快速走贬、商品房销售回暖、资</w:t>
      </w:r>
      <w:r>
        <w:rPr>
          <w:rFonts w:ascii="仿宋" w:eastAsia="仿宋" w:hAnsi="仿宋" w:cs="仿宋" w:hint="eastAsia"/>
          <w:sz w:val="24"/>
        </w:rPr>
        <w:t>金价格收敛等因素影响，债市出现较大幅度调整。</w:t>
      </w:r>
      <w:r>
        <w:rPr>
          <w:rFonts w:ascii="仿宋" w:eastAsia="仿宋" w:hAnsi="仿宋" w:cs="仿宋" w:hint="eastAsia"/>
          <w:sz w:val="24"/>
        </w:rPr>
        <w:cr/>
      </w:r>
      <w:r>
        <w:rPr>
          <w:rFonts w:ascii="仿宋" w:eastAsia="仿宋" w:hAnsi="仿宋" w:cs="仿宋" w:hint="eastAsia"/>
          <w:sz w:val="24"/>
        </w:rPr>
        <w:t>资金方面：三季度央行公开市场微量净投放</w:t>
      </w:r>
      <w:r>
        <w:rPr>
          <w:rFonts w:ascii="仿宋" w:eastAsia="仿宋" w:hAnsi="仿宋" w:cs="仿宋" w:hint="eastAsia"/>
          <w:sz w:val="24"/>
        </w:rPr>
        <w:t>1180</w:t>
      </w:r>
      <w:r>
        <w:rPr>
          <w:rFonts w:ascii="仿宋" w:eastAsia="仿宋" w:hAnsi="仿宋" w:cs="仿宋" w:hint="eastAsia"/>
          <w:sz w:val="24"/>
        </w:rPr>
        <w:t>亿元，其中</w:t>
      </w:r>
      <w:r>
        <w:rPr>
          <w:rFonts w:ascii="仿宋" w:eastAsia="仿宋" w:hAnsi="仿宋" w:cs="仿宋" w:hint="eastAsia"/>
          <w:sz w:val="24"/>
        </w:rPr>
        <w:t>MLF</w:t>
      </w:r>
      <w:r>
        <w:rPr>
          <w:rFonts w:ascii="仿宋" w:eastAsia="仿宋" w:hAnsi="仿宋" w:cs="仿宋" w:hint="eastAsia"/>
          <w:sz w:val="24"/>
        </w:rPr>
        <w:t>小幅净回笼</w:t>
      </w:r>
      <w:r>
        <w:rPr>
          <w:rFonts w:ascii="仿宋" w:eastAsia="仿宋" w:hAnsi="仿宋" w:cs="仿宋" w:hint="eastAsia"/>
          <w:sz w:val="24"/>
        </w:rPr>
        <w:t>4000</w:t>
      </w:r>
      <w:r>
        <w:rPr>
          <w:rFonts w:ascii="仿宋" w:eastAsia="仿宋" w:hAnsi="仿宋" w:cs="仿宋" w:hint="eastAsia"/>
          <w:sz w:val="24"/>
        </w:rPr>
        <w:t>亿，银行间资金价格较二季度相比整体平稳，</w:t>
      </w:r>
      <w:r>
        <w:rPr>
          <w:rFonts w:ascii="仿宋" w:eastAsia="仿宋" w:hAnsi="仿宋" w:cs="仿宋" w:hint="eastAsia"/>
          <w:sz w:val="24"/>
        </w:rPr>
        <w:t>R007</w:t>
      </w:r>
      <w:r>
        <w:rPr>
          <w:rFonts w:ascii="仿宋" w:eastAsia="仿宋" w:hAnsi="仿宋" w:cs="仿宋" w:hint="eastAsia"/>
          <w:sz w:val="24"/>
        </w:rPr>
        <w:t>均值</w:t>
      </w:r>
      <w:r>
        <w:rPr>
          <w:rFonts w:ascii="仿宋" w:eastAsia="仿宋" w:hAnsi="仿宋" w:cs="仿宋" w:hint="eastAsia"/>
          <w:sz w:val="24"/>
        </w:rPr>
        <w:t>1.64%</w:t>
      </w:r>
      <w:r>
        <w:rPr>
          <w:rFonts w:ascii="仿宋" w:eastAsia="仿宋" w:hAnsi="仿宋" w:cs="仿宋" w:hint="eastAsia"/>
          <w:sz w:val="24"/>
        </w:rPr>
        <w:t>，较上季度下行</w:t>
      </w:r>
      <w:r>
        <w:rPr>
          <w:rFonts w:ascii="仿宋" w:eastAsia="仿宋" w:hAnsi="仿宋" w:cs="仿宋" w:hint="eastAsia"/>
          <w:sz w:val="24"/>
        </w:rPr>
        <w:t>21bp</w:t>
      </w:r>
      <w:r>
        <w:rPr>
          <w:rFonts w:ascii="仿宋" w:eastAsia="仿宋" w:hAnsi="仿宋" w:cs="仿宋" w:hint="eastAsia"/>
          <w:sz w:val="24"/>
        </w:rPr>
        <w:t>。</w:t>
      </w:r>
      <w:r>
        <w:rPr>
          <w:rFonts w:ascii="仿宋" w:eastAsia="仿宋" w:hAnsi="仿宋" w:cs="仿宋" w:hint="eastAsia"/>
          <w:sz w:val="24"/>
        </w:rPr>
        <w:cr/>
      </w:r>
      <w:r>
        <w:rPr>
          <w:rFonts w:ascii="仿宋" w:eastAsia="仿宋" w:hAnsi="仿宋" w:cs="仿宋" w:hint="eastAsia"/>
          <w:sz w:val="24"/>
        </w:rPr>
        <w:t>本产品以主要投资于债券等固定收益类资产。信用债投资方面，在严格把控信用风险的前提下，挖掘个券的超额收益机会；利率债和同业存单投资方面，继续保持灵活适度操作，择机参与波段机会。</w:t>
      </w:r>
    </w:p>
    <w:p w:rsidR="00401734" w:rsidRDefault="006112B6">
      <w:pPr>
        <w:adjustRightInd w:val="0"/>
        <w:snapToGrid w:val="0"/>
        <w:spacing w:line="560" w:lineRule="atLeas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color w:val="000000"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01734" w:rsidRDefault="006112B6" w:rsidP="0001462B">
      <w:pPr>
        <w:adjustRightInd w:val="0"/>
        <w:snapToGrid w:val="0"/>
        <w:spacing w:line="560" w:lineRule="atLeas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展望四季度，在基建投资带动下，经济大概率延续弱复苏的态势，房地产、疫情防控、美联储加息进程是影响后市主</w:t>
      </w:r>
      <w:r>
        <w:rPr>
          <w:rFonts w:ascii="仿宋" w:eastAsia="仿宋" w:hAnsi="仿宋" w:cs="仿宋" w:hint="eastAsia"/>
          <w:sz w:val="24"/>
        </w:rPr>
        <w:t>要变量。综合来看，当前</w:t>
      </w:r>
      <w:r>
        <w:rPr>
          <w:rFonts w:ascii="仿宋" w:eastAsia="仿宋" w:hAnsi="仿宋" w:cs="仿宋" w:hint="eastAsia"/>
          <w:sz w:val="24"/>
        </w:rPr>
        <w:t>10</w:t>
      </w:r>
      <w:r>
        <w:rPr>
          <w:rFonts w:ascii="仿宋" w:eastAsia="仿宋" w:hAnsi="仿宋" w:cs="仿宋" w:hint="eastAsia"/>
          <w:sz w:val="24"/>
        </w:rPr>
        <w:t>年期国债收益率接近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年期</w:t>
      </w:r>
      <w:r>
        <w:rPr>
          <w:rFonts w:ascii="仿宋" w:eastAsia="仿宋" w:hAnsi="仿宋" w:cs="仿宋" w:hint="eastAsia"/>
          <w:sz w:val="24"/>
        </w:rPr>
        <w:t>MLF</w:t>
      </w:r>
      <w:r>
        <w:rPr>
          <w:rFonts w:ascii="仿宋" w:eastAsia="仿宋" w:hAnsi="仿宋" w:cs="仿宋" w:hint="eastAsia"/>
          <w:sz w:val="24"/>
        </w:rPr>
        <w:t>政策利率，债券绝对收益率水平偏低，四季度维持债券收益率震荡判断。</w:t>
      </w:r>
    </w:p>
    <w:p w:rsidR="00401734" w:rsidRDefault="006112B6">
      <w:pPr>
        <w:adjustRightInd w:val="0"/>
        <w:snapToGrid w:val="0"/>
        <w:spacing w:line="560" w:lineRule="atLeas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color w:val="000000"/>
          <w:sz w:val="24"/>
        </w:rPr>
        <w:lastRenderedPageBreak/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01734" w:rsidRDefault="006112B6" w:rsidP="0001462B">
      <w:pPr>
        <w:adjustRightInd w:val="0"/>
        <w:snapToGrid w:val="0"/>
        <w:spacing w:line="560" w:lineRule="atLeas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本产品属于</w:t>
      </w:r>
      <w:r>
        <w:rPr>
          <w:rFonts w:ascii="仿宋" w:eastAsia="仿宋" w:hAnsi="仿宋" w:cs="仿宋"/>
          <w:sz w:val="24"/>
        </w:rPr>
        <w:t>开放式固定收益类，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401734" w:rsidRDefault="006112B6">
      <w:pPr>
        <w:adjustRightInd w:val="0"/>
        <w:snapToGrid w:val="0"/>
        <w:spacing w:line="560" w:lineRule="atLeast"/>
        <w:rPr>
          <w:rFonts w:ascii="仿宋" w:eastAsia="仿宋" w:hAnsi="仿宋" w:cs="仿宋"/>
          <w:b/>
          <w:color w:val="000000"/>
          <w:sz w:val="24"/>
        </w:rPr>
      </w:pPr>
      <w:r>
        <w:rPr>
          <w:rFonts w:ascii="仿宋" w:eastAsia="仿宋" w:hAnsi="仿宋" w:cs="仿宋" w:hint="eastAsia"/>
          <w:b/>
          <w:color w:val="000000"/>
          <w:sz w:val="24"/>
        </w:rPr>
        <w:t xml:space="preserve">4.4 </w:t>
      </w:r>
      <w:r>
        <w:rPr>
          <w:rFonts w:ascii="仿宋" w:eastAsia="仿宋" w:hAnsi="仿宋" w:cs="仿宋" w:hint="eastAsia"/>
          <w:b/>
          <w:color w:val="000000"/>
          <w:sz w:val="24"/>
        </w:rPr>
        <w:t>报告期末</w:t>
      </w:r>
      <w:r>
        <w:rPr>
          <w:rFonts w:ascii="仿宋" w:eastAsia="仿宋" w:hAnsi="仿宋" w:cs="仿宋" w:hint="eastAsia"/>
          <w:b/>
          <w:color w:val="000000"/>
          <w:sz w:val="24"/>
        </w:rPr>
        <w:t>穿透前</w:t>
      </w:r>
      <w:r>
        <w:rPr>
          <w:rFonts w:ascii="仿宋" w:eastAsia="仿宋" w:hAnsi="仿宋" w:cs="仿宋" w:hint="eastAsia"/>
          <w:b/>
          <w:color w:val="000000"/>
          <w:sz w:val="24"/>
        </w:rPr>
        <w:t>投资组合分类</w:t>
      </w:r>
    </w:p>
    <w:tbl>
      <w:tblPr>
        <w:tblW w:w="9633" w:type="dxa"/>
        <w:tblInd w:w="-6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86"/>
        <w:gridCol w:w="5614"/>
        <w:gridCol w:w="2833"/>
      </w:tblGrid>
      <w:tr w:rsidR="00401734">
        <w:trPr>
          <w:trHeight w:val="41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 w:rsidR="00401734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401734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401734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9.76%</w:t>
            </w:r>
          </w:p>
        </w:tc>
      </w:tr>
      <w:tr w:rsidR="00401734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75.67%</w:t>
            </w:r>
          </w:p>
        </w:tc>
      </w:tr>
      <w:tr w:rsidR="00401734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401734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5.52%</w:t>
            </w:r>
          </w:p>
        </w:tc>
      </w:tr>
      <w:tr w:rsidR="00401734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401734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</w:t>
            </w:r>
            <w:r>
              <w:rPr>
                <w:rFonts w:ascii="仿宋" w:eastAsia="仿宋" w:hAnsi="仿宋" w:cs="仿宋" w:hint="eastAsia"/>
                <w:sz w:val="24"/>
              </w:rPr>
              <w:t>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401734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401734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401734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401734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401734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9.05%</w:t>
            </w:r>
          </w:p>
        </w:tc>
      </w:tr>
      <w:tr w:rsidR="00401734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401734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01734" w:rsidRDefault="006112B6">
      <w:pPr>
        <w:adjustRightInd w:val="0"/>
        <w:snapToGrid w:val="0"/>
        <w:spacing w:line="560" w:lineRule="atLeas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>
        <w:rPr>
          <w:rFonts w:ascii="仿宋" w:eastAsia="仿宋" w:hAnsi="仿宋" w:cs="仿宋" w:hint="eastAsia"/>
          <w:b/>
          <w:sz w:val="24"/>
        </w:rPr>
        <w:t>报告期末</w:t>
      </w:r>
      <w:r>
        <w:rPr>
          <w:rFonts w:ascii="仿宋" w:eastAsia="仿宋" w:hAnsi="仿宋" w:cs="仿宋" w:hint="eastAsia"/>
          <w:b/>
          <w:sz w:val="24"/>
        </w:rPr>
        <w:t>穿透后</w:t>
      </w:r>
      <w:bookmarkStart w:id="1" w:name="_GoBack"/>
      <w:bookmarkEnd w:id="1"/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667" w:type="dxa"/>
        <w:tblInd w:w="-6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20"/>
        <w:gridCol w:w="5647"/>
        <w:gridCol w:w="2800"/>
      </w:tblGrid>
      <w:tr w:rsidR="00401734">
        <w:trPr>
          <w:trHeight w:val="4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 w:rsidR="00401734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1.84%</w:t>
            </w:r>
          </w:p>
        </w:tc>
      </w:tr>
      <w:tr w:rsidR="00401734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2.74%</w:t>
            </w:r>
          </w:p>
        </w:tc>
      </w:tr>
      <w:tr w:rsidR="00401734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10.82%</w:t>
            </w:r>
          </w:p>
        </w:tc>
      </w:tr>
      <w:tr w:rsidR="00401734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79.09%</w:t>
            </w:r>
          </w:p>
        </w:tc>
      </w:tr>
      <w:tr w:rsidR="00401734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401734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5.52%</w:t>
            </w:r>
          </w:p>
        </w:tc>
      </w:tr>
      <w:tr w:rsidR="00401734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401734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</w:t>
            </w:r>
            <w:r>
              <w:rPr>
                <w:rFonts w:ascii="仿宋" w:eastAsia="仿宋" w:hAnsi="仿宋" w:cs="仿宋" w:hint="eastAsia"/>
                <w:sz w:val="24"/>
              </w:rPr>
              <w:t>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401734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401734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401734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401734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401734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401734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401734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01734" w:rsidRDefault="006112B6">
      <w:pPr>
        <w:adjustRightInd w:val="0"/>
        <w:snapToGrid w:val="0"/>
        <w:spacing w:line="560" w:lineRule="atLeas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4.6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</w:p>
    <w:p w:rsidR="00401734" w:rsidRDefault="006112B6">
      <w:pPr>
        <w:adjustRightInd w:val="0"/>
        <w:snapToGrid w:val="0"/>
        <w:spacing w:line="560" w:lineRule="atLeast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634" w:type="dxa"/>
        <w:jc w:val="center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48"/>
        <w:gridCol w:w="3166"/>
        <w:gridCol w:w="2467"/>
        <w:gridCol w:w="2753"/>
      </w:tblGrid>
      <w:tr w:rsidR="00401734">
        <w:trPr>
          <w:trHeight w:val="180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 w:rsidR="00401734">
        <w:trPr>
          <w:trHeight w:val="180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150,055,890.40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7.01%</w:t>
            </w:r>
          </w:p>
        </w:tc>
      </w:tr>
      <w:tr w:rsidR="00401734">
        <w:trPr>
          <w:trHeight w:val="180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太平洋卓越纯债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号产品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100,023,858.75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4.67%</w:t>
            </w:r>
          </w:p>
        </w:tc>
      </w:tr>
      <w:tr w:rsidR="00401734">
        <w:trPr>
          <w:trHeight w:val="180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中信证券星辰</w:t>
            </w:r>
            <w:r>
              <w:rPr>
                <w:rFonts w:ascii="仿宋" w:eastAsia="仿宋" w:hAnsi="仿宋" w:cs="仿宋" w:hint="eastAsia"/>
                <w:sz w:val="24"/>
              </w:rPr>
              <w:t>36</w:t>
            </w:r>
            <w:r>
              <w:rPr>
                <w:rFonts w:ascii="仿宋" w:eastAsia="仿宋" w:hAnsi="仿宋" w:cs="仿宋" w:hint="eastAsia"/>
                <w:sz w:val="24"/>
              </w:rPr>
              <w:t>号集合资产管理计划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93,831,351.95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4.38%</w:t>
            </w:r>
          </w:p>
        </w:tc>
      </w:tr>
      <w:tr w:rsidR="00401734">
        <w:trPr>
          <w:trHeight w:val="180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贵阳银行股份有限公司非公开发行优先股</w:t>
            </w:r>
            <w:r>
              <w:rPr>
                <w:rFonts w:ascii="仿宋" w:eastAsia="仿宋" w:hAnsi="仿宋" w:cs="仿宋" w:hint="eastAsia"/>
                <w:sz w:val="24"/>
              </w:rPr>
              <w:t>360031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53,135,000.00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2.48%</w:t>
            </w:r>
          </w:p>
        </w:tc>
      </w:tr>
      <w:tr w:rsidR="00401734">
        <w:trPr>
          <w:trHeight w:val="180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杭州富阳开发区建设投资集团有限公司</w:t>
            </w:r>
            <w:r>
              <w:rPr>
                <w:rFonts w:ascii="仿宋" w:eastAsia="仿宋" w:hAnsi="仿宋" w:cs="仿宋" w:hint="eastAsia"/>
                <w:sz w:val="24"/>
              </w:rPr>
              <w:t>2020</w:t>
            </w:r>
            <w:r>
              <w:rPr>
                <w:rFonts w:ascii="仿宋" w:eastAsia="仿宋" w:hAnsi="仿宋" w:cs="仿宋" w:hint="eastAsia"/>
                <w:sz w:val="24"/>
              </w:rPr>
              <w:t>年度第一期定向债务融资工具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50,964,931.51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2.38%</w:t>
            </w:r>
          </w:p>
        </w:tc>
      </w:tr>
      <w:tr w:rsidR="00401734">
        <w:trPr>
          <w:trHeight w:val="180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湖州市交通投资集团有限公司</w:t>
            </w:r>
            <w:r>
              <w:rPr>
                <w:rFonts w:ascii="仿宋" w:eastAsia="仿宋" w:hAnsi="仿宋" w:cs="仿宋" w:hint="eastAsia"/>
                <w:sz w:val="24"/>
              </w:rPr>
              <w:t>2022</w:t>
            </w:r>
            <w:r>
              <w:rPr>
                <w:rFonts w:ascii="仿宋" w:eastAsia="仿宋" w:hAnsi="仿宋" w:cs="仿宋" w:hint="eastAsia"/>
                <w:sz w:val="24"/>
              </w:rPr>
              <w:t>年面向专业投资者非公开发行公司债券</w:t>
            </w: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第一期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50,458,835.62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2.36%</w:t>
            </w:r>
          </w:p>
        </w:tc>
      </w:tr>
      <w:tr w:rsidR="00401734">
        <w:trPr>
          <w:trHeight w:val="180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江苏银行股份有限公司非公开发行优先股</w:t>
            </w:r>
            <w:r>
              <w:rPr>
                <w:rFonts w:ascii="仿宋" w:eastAsia="仿宋" w:hAnsi="仿宋" w:cs="仿宋" w:hint="eastAsia"/>
                <w:sz w:val="24"/>
              </w:rPr>
              <w:t>360026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50,188,800.00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2.34%</w:t>
            </w:r>
          </w:p>
        </w:tc>
      </w:tr>
      <w:tr w:rsidR="00401734">
        <w:trPr>
          <w:trHeight w:val="180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50,019,178.10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2.34%</w:t>
            </w:r>
          </w:p>
        </w:tc>
      </w:tr>
      <w:tr w:rsidR="00401734">
        <w:trPr>
          <w:trHeight w:val="180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南京江宁滨江新城开发建设有限公司</w:t>
            </w:r>
            <w:r>
              <w:rPr>
                <w:rFonts w:ascii="仿宋" w:eastAsia="仿宋" w:hAnsi="仿宋" w:cs="仿宋" w:hint="eastAsia"/>
                <w:sz w:val="24"/>
              </w:rPr>
              <w:t>2020</w:t>
            </w:r>
            <w:r>
              <w:rPr>
                <w:rFonts w:ascii="仿宋" w:eastAsia="仿宋" w:hAnsi="仿宋" w:cs="仿宋" w:hint="eastAsia"/>
                <w:sz w:val="24"/>
              </w:rPr>
              <w:t>年非公开发行公司债券</w:t>
            </w: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第一期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46,337,819.18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2.16%</w:t>
            </w:r>
          </w:p>
        </w:tc>
      </w:tr>
      <w:tr w:rsidR="00401734">
        <w:trPr>
          <w:trHeight w:val="180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金华市婺城区城乡建设投资集团有限公司</w:t>
            </w:r>
            <w:r>
              <w:rPr>
                <w:rFonts w:ascii="仿宋" w:eastAsia="仿宋" w:hAnsi="仿宋" w:cs="仿宋" w:hint="eastAsia"/>
                <w:sz w:val="24"/>
              </w:rPr>
              <w:t>2019</w:t>
            </w:r>
            <w:r>
              <w:rPr>
                <w:rFonts w:ascii="仿宋" w:eastAsia="仿宋" w:hAnsi="仿宋" w:cs="仿宋" w:hint="eastAsia"/>
                <w:sz w:val="24"/>
              </w:rPr>
              <w:t>年非公开发行公司债券</w:t>
            </w: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保障性住房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45,274,641.09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2.11%</w:t>
            </w:r>
          </w:p>
        </w:tc>
      </w:tr>
    </w:tbl>
    <w:p w:rsidR="00401734" w:rsidRDefault="006112B6">
      <w:pPr>
        <w:adjustRightInd w:val="0"/>
        <w:snapToGrid w:val="0"/>
        <w:spacing w:line="560" w:lineRule="atLeas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4.7 </w:t>
      </w:r>
      <w:r>
        <w:rPr>
          <w:rFonts w:ascii="仿宋" w:eastAsia="仿宋" w:hAnsi="仿宋" w:cs="仿宋" w:hint="eastAsia"/>
          <w:b/>
          <w:sz w:val="24"/>
        </w:rPr>
        <w:t>报告期融资情况</w:t>
      </w:r>
    </w:p>
    <w:p w:rsidR="00401734" w:rsidRDefault="006112B6" w:rsidP="0001462B">
      <w:pPr>
        <w:adjustRightInd w:val="0"/>
        <w:snapToGrid w:val="0"/>
        <w:spacing w:line="560" w:lineRule="atLeast"/>
        <w:ind w:firstLineChars="2600" w:firstLine="624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633" w:type="dxa"/>
        <w:tblInd w:w="-63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266"/>
        <w:gridCol w:w="3167"/>
        <w:gridCol w:w="2433"/>
        <w:gridCol w:w="2767"/>
      </w:tblGrid>
      <w:tr w:rsidR="00401734">
        <w:trPr>
          <w:trHeight w:val="37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 w:rsidR="00401734">
        <w:trPr>
          <w:trHeight w:val="29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spacing w:line="560" w:lineRule="atLeast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spacing w:line="560" w:lineRule="atLeast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 w:rsidR="00401734">
        <w:trPr>
          <w:trHeight w:val="29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spacing w:line="560" w:lineRule="atLeast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spacing w:line="560" w:lineRule="atLeast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 w:rsidR="00401734">
        <w:trPr>
          <w:trHeight w:val="29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spacing w:line="560" w:lineRule="atLeast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spacing w:line="560" w:lineRule="atLeast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01734" w:rsidRDefault="006112B6">
      <w:pPr>
        <w:adjustRightInd w:val="0"/>
        <w:snapToGrid w:val="0"/>
        <w:spacing w:line="560" w:lineRule="atLeast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</w:t>
      </w:r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01734" w:rsidRDefault="006112B6" w:rsidP="0001462B">
      <w:pPr>
        <w:adjustRightInd w:val="0"/>
        <w:snapToGrid w:val="0"/>
        <w:spacing w:line="560" w:lineRule="atLeast"/>
        <w:ind w:firstLineChars="2800" w:firstLine="67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pPr w:leftFromText="180" w:rightFromText="180" w:vertAnchor="text" w:horzAnchor="margin" w:tblpXSpec="center" w:tblpY="219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4"/>
        <w:gridCol w:w="1303"/>
        <w:gridCol w:w="2305"/>
        <w:gridCol w:w="1003"/>
        <w:gridCol w:w="1961"/>
        <w:gridCol w:w="773"/>
        <w:gridCol w:w="991"/>
        <w:gridCol w:w="830"/>
      </w:tblGrid>
      <w:tr w:rsidR="0040173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lastRenderedPageBreak/>
              <w:t>序号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4" w:rsidRDefault="006112B6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</w:tbl>
    <w:p w:rsidR="00401734" w:rsidRDefault="00401734">
      <w:pPr>
        <w:adjustRightInd w:val="0"/>
        <w:snapToGrid w:val="0"/>
        <w:spacing w:line="560" w:lineRule="atLeast"/>
        <w:jc w:val="right"/>
        <w:rPr>
          <w:rFonts w:ascii="仿宋" w:eastAsia="仿宋" w:hAnsi="仿宋" w:cs="仿宋"/>
          <w:b/>
          <w:sz w:val="22"/>
          <w:szCs w:val="22"/>
          <w:highlight w:val="yellow"/>
        </w:rPr>
      </w:pPr>
    </w:p>
    <w:p w:rsidR="00401734" w:rsidRDefault="00401734">
      <w:pPr>
        <w:adjustRightInd w:val="0"/>
        <w:snapToGrid w:val="0"/>
        <w:spacing w:line="560" w:lineRule="atLeast"/>
        <w:rPr>
          <w:rFonts w:ascii="仿宋" w:eastAsia="仿宋" w:hAnsi="仿宋" w:cs="仿宋"/>
          <w:color w:val="0000FF"/>
          <w:kern w:val="0"/>
          <w:sz w:val="18"/>
          <w:szCs w:val="20"/>
          <w:highlight w:val="yellow"/>
        </w:rPr>
      </w:pPr>
    </w:p>
    <w:p w:rsidR="00401734" w:rsidRDefault="006112B6">
      <w:pPr>
        <w:pStyle w:val="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 w:val="0"/>
          <w:sz w:val="24"/>
        </w:rPr>
        <w:t>§</w:t>
      </w:r>
      <w:r>
        <w:rPr>
          <w:rFonts w:ascii="仿宋" w:eastAsia="仿宋" w:hAnsi="仿宋" w:cs="仿宋" w:hint="eastAsia"/>
          <w:sz w:val="24"/>
        </w:rPr>
        <w:t xml:space="preserve">5  </w:t>
      </w:r>
      <w:r>
        <w:rPr>
          <w:rFonts w:ascii="仿宋" w:eastAsia="仿宋" w:hAnsi="仿宋" w:cs="仿宋" w:hint="eastAsia"/>
          <w:sz w:val="24"/>
        </w:rPr>
        <w:t>产品份额变动</w:t>
      </w:r>
    </w:p>
    <w:p w:rsidR="00401734" w:rsidRDefault="006112B6">
      <w:pPr>
        <w:adjustRightInd w:val="0"/>
        <w:snapToGrid w:val="0"/>
        <w:spacing w:line="560" w:lineRule="atLeas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                               </w:t>
      </w: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9616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0"/>
        <w:gridCol w:w="4596"/>
      </w:tblGrid>
      <w:tr w:rsidR="00401734"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1,246,010,147.69</w:t>
            </w:r>
          </w:p>
        </w:tc>
      </w:tr>
      <w:tr w:rsidR="00401734"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34" w:rsidRDefault="006112B6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1,955,576,008.10</w:t>
            </w:r>
          </w:p>
        </w:tc>
      </w:tr>
    </w:tbl>
    <w:p w:rsidR="00401734" w:rsidRDefault="00401734">
      <w:pPr>
        <w:widowControl/>
        <w:adjustRightInd w:val="0"/>
        <w:snapToGrid w:val="0"/>
        <w:spacing w:line="560" w:lineRule="atLeast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01734" w:rsidRDefault="00401734">
      <w:pPr>
        <w:widowControl/>
        <w:adjustRightInd w:val="0"/>
        <w:snapToGrid w:val="0"/>
        <w:spacing w:line="560" w:lineRule="atLeast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01734" w:rsidRDefault="006112B6">
      <w:pPr>
        <w:pStyle w:val="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  <w:szCs w:val="22"/>
        </w:rPr>
      </w:pPr>
      <w:r>
        <w:rPr>
          <w:rFonts w:ascii="仿宋" w:eastAsia="仿宋" w:hAnsi="仿宋" w:cs="仿宋" w:hint="eastAsia"/>
          <w:bCs/>
          <w:sz w:val="24"/>
          <w:szCs w:val="22"/>
        </w:rPr>
        <w:t>§</w:t>
      </w:r>
      <w:r>
        <w:rPr>
          <w:rFonts w:ascii="仿宋" w:eastAsia="仿宋" w:hAnsi="仿宋" w:cs="仿宋" w:hint="eastAsia"/>
          <w:bCs/>
          <w:sz w:val="24"/>
          <w:szCs w:val="22"/>
        </w:rPr>
        <w:t>6</w:t>
      </w:r>
      <w:r>
        <w:rPr>
          <w:rFonts w:ascii="仿宋" w:eastAsia="仿宋" w:hAnsi="仿宋" w:cs="仿宋" w:hint="eastAsia"/>
          <w:bCs/>
          <w:sz w:val="24"/>
          <w:szCs w:val="22"/>
        </w:rPr>
        <w:t xml:space="preserve"> </w:t>
      </w:r>
      <w:r>
        <w:rPr>
          <w:rFonts w:ascii="仿宋" w:eastAsia="仿宋" w:hAnsi="仿宋" w:cs="仿宋" w:hint="eastAsia"/>
          <w:bCs/>
          <w:sz w:val="24"/>
          <w:szCs w:val="22"/>
        </w:rPr>
        <w:t>托管人报告</w:t>
      </w:r>
    </w:p>
    <w:p w:rsidR="00401734" w:rsidRDefault="006112B6" w:rsidP="0001462B">
      <w:pPr>
        <w:adjustRightInd w:val="0"/>
        <w:snapToGrid w:val="0"/>
        <w:spacing w:line="560" w:lineRule="atLeas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</w:t>
      </w:r>
      <w:r>
        <w:rPr>
          <w:rFonts w:ascii="仿宋" w:eastAsia="仿宋" w:hAnsi="仿宋" w:cs="仿宋" w:hint="eastAsia"/>
          <w:sz w:val="24"/>
        </w:rPr>
        <w:lastRenderedPageBreak/>
        <w:t>进行了认真、独立的会计核算和必要的投资监督，没有从事任何损害产品份额持有人利益的行为，诚实信用、勤勉尽责地履行了托管人应尽的义务。</w:t>
      </w:r>
    </w:p>
    <w:p w:rsidR="00401734" w:rsidRDefault="006112B6" w:rsidP="0001462B">
      <w:pPr>
        <w:adjustRightInd w:val="0"/>
        <w:snapToGrid w:val="0"/>
        <w:spacing w:line="560" w:lineRule="atLeast"/>
        <w:ind w:firstLineChars="200" w:firstLine="480"/>
        <w:rPr>
          <w:rFonts w:ascii="仿宋" w:eastAsia="仿宋" w:hAnsi="仿宋" w:cs="仿宋"/>
          <w:bCs/>
          <w:sz w:val="24"/>
          <w:szCs w:val="18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</w:t>
      </w:r>
      <w:r>
        <w:rPr>
          <w:rFonts w:ascii="仿宋" w:eastAsia="仿宋" w:hAnsi="仿宋" w:cs="仿宋" w:hint="eastAsia"/>
          <w:sz w:val="24"/>
        </w:rPr>
        <w:t>务数据核对一致。</w:t>
      </w:r>
    </w:p>
    <w:p w:rsidR="00401734" w:rsidRDefault="00401734" w:rsidP="0001462B">
      <w:pPr>
        <w:widowControl/>
        <w:adjustRightInd w:val="0"/>
        <w:snapToGrid w:val="0"/>
        <w:spacing w:line="560" w:lineRule="atLeast"/>
        <w:ind w:firstLineChars="200" w:firstLine="48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01734" w:rsidRDefault="00401734" w:rsidP="0001462B">
      <w:pPr>
        <w:widowControl/>
        <w:adjustRightInd w:val="0"/>
        <w:snapToGrid w:val="0"/>
        <w:spacing w:line="560" w:lineRule="atLeast"/>
        <w:ind w:firstLineChars="200" w:firstLine="48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01734" w:rsidRDefault="00401734">
      <w:pPr>
        <w:spacing w:line="560" w:lineRule="atLeast"/>
        <w:ind w:left="360"/>
        <w:jc w:val="right"/>
        <w:rPr>
          <w:rFonts w:ascii="仿宋" w:eastAsia="仿宋" w:hAnsi="仿宋" w:cs="仿宋"/>
          <w:sz w:val="24"/>
          <w:szCs w:val="20"/>
        </w:rPr>
      </w:pPr>
    </w:p>
    <w:p w:rsidR="00401734" w:rsidRDefault="006112B6">
      <w:pPr>
        <w:spacing w:line="560" w:lineRule="atLeast"/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401734" w:rsidRDefault="006112B6">
      <w:pPr>
        <w:spacing w:line="560" w:lineRule="atLeast"/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4"/>
        </w:rPr>
        <w:t>2022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>10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>19</w:t>
      </w:r>
      <w:r>
        <w:rPr>
          <w:rFonts w:ascii="仿宋" w:eastAsia="仿宋" w:hAnsi="仿宋" w:cs="仿宋" w:hint="eastAsia"/>
          <w:sz w:val="24"/>
        </w:rPr>
        <w:t>日</w:t>
      </w:r>
    </w:p>
    <w:sectPr w:rsidR="00401734" w:rsidSect="00401734">
      <w:headerReference w:type="default" r:id="rId7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2B6" w:rsidRDefault="006112B6" w:rsidP="00401734">
      <w:pPr>
        <w:spacing w:after="0" w:line="240" w:lineRule="auto"/>
      </w:pPr>
      <w:r>
        <w:separator/>
      </w:r>
    </w:p>
  </w:endnote>
  <w:endnote w:type="continuationSeparator" w:id="1">
    <w:p w:rsidR="006112B6" w:rsidRDefault="006112B6" w:rsidP="0040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2B6" w:rsidRDefault="006112B6" w:rsidP="00401734">
      <w:pPr>
        <w:spacing w:after="0" w:line="240" w:lineRule="auto"/>
      </w:pPr>
      <w:r>
        <w:separator/>
      </w:r>
    </w:p>
  </w:footnote>
  <w:footnote w:type="continuationSeparator" w:id="1">
    <w:p w:rsidR="006112B6" w:rsidRDefault="006112B6" w:rsidP="00401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34" w:rsidRDefault="006112B6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hideSpellingErrors/>
  <w:hideGrammaticalErrors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ZlY2ZiYmExOWJmOTY5NWFmNzQwOWFhNmE0ZjgxMTMifQ=="/>
  </w:docVars>
  <w:rsids>
    <w:rsidRoot w:val="00401734"/>
    <w:rsid w:val="0001462B"/>
    <w:rsid w:val="00401734"/>
    <w:rsid w:val="0061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nhideWhenUsed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73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01734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2">
    <w:name w:val="heading 2"/>
    <w:basedOn w:val="a"/>
    <w:next w:val="a"/>
    <w:unhideWhenUsed/>
    <w:qFormat/>
    <w:rsid w:val="00401734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3">
    <w:name w:val="heading 3"/>
    <w:basedOn w:val="a"/>
    <w:next w:val="a"/>
    <w:unhideWhenUsed/>
    <w:qFormat/>
    <w:rsid w:val="00401734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401734"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a4">
    <w:name w:val="footer"/>
    <w:basedOn w:val="a"/>
    <w:qFormat/>
    <w:rsid w:val="0040173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40173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nhideWhenUsed/>
    <w:qFormat/>
    <w:rsid w:val="00401734"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Char">
    <w:name w:val="正文文本 Char"/>
    <w:basedOn w:val="a0"/>
    <w:link w:val="a3"/>
    <w:qFormat/>
    <w:rsid w:val="00401734"/>
    <w:rPr>
      <w:rFonts w:ascii="Times New Roman" w:eastAsia="方正仿宋简体" w:hAnsi="Times New Roman" w:cs="Times New Roman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497</Words>
  <Characters>2838</Characters>
  <Application>Microsoft Office Word</Application>
  <DocSecurity>0</DocSecurity>
  <Lines>23</Lines>
  <Paragraphs>6</Paragraphs>
  <ScaleCrop>false</ScaleCrop>
  <Company>Microsoft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张锡琴</cp:lastModifiedBy>
  <cp:revision>2</cp:revision>
  <dcterms:created xsi:type="dcterms:W3CDTF">2024-07-04T06:30:00Z</dcterms:created>
  <dcterms:modified xsi:type="dcterms:W3CDTF">2024-07-04T06:30:00Z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