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兴银理财稳利丰收封闭式44号固收类理财产品2024年第二季度报告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兴银理财稳利丰收封闭式44号固收类理财产品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兴银理财稳利丰收封闭式44号固收类理财产品2024年第二季度报告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兴银理财稳利丰收封闭式44号固收类理财产品2024年第二季度报告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兴银理财稳利丰收封闭式44号固收类理财产品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9C310440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Z7002023000470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80,049,932.75份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稳利丰收封闭式44号A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9C31044A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80,049,932.75</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12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兴银理财稳利丰收封闭式44号固收类理财产品2024年第二季度报告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9C31044A</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业绩比较基准（9C31044A）：3.40%--4.20%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（2）兴银理财稳利丰收封闭式44号固收类理财产品成立于2023年10月10日，数据截止至2024年06月30日。过往业绩是由兴银理财有限责任公司计算并确认后所提供的数据。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9C310440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1.05206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1.05206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84,217,174.95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9C31044A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1.05206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1.05206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84,217,174.95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1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兴银理财稳利丰收封闭式44号固收类理财产品2024年第二季度报告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兴银理财稳利丰收封闭式44号固收类理财产品2024年第二季度报告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w:t>
            </w:r>
            <w:bookmarkStart w:id="7" w:name="_GoBack"/>
            <w:bookmarkEnd w:id="7"/>
            <w:r>
              <w:rPr>
                <w:rFonts w:ascii="宋体" w:hAnsi="宋体" w:eastAsia="宋体" w:cs="宋体"/>
                <w:color w:val="000000"/>
                <w:sz w:val="21"/>
              </w:rPr>
              <w:t>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4,154,712.06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3,047,924.96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23富和01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2,708,482.53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24沪建Y2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2,634,482.02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22余杭农商行二级资本债02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2,317,952.21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2,175,317.76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24中建二局MTN001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2,131,427.39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2,129,406.41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23湖州高新PPN001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1,815,160.78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1,810,755.25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兴银理财稳利丰收封闭式44号固收类理财产品2024年第二季度报告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兴银理财稳利丰收封闭式44号固收类理财产品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0.7318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051010100101646172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兴银理财稳利丰收封闭式44号固收类理财产品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46345D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2024-07-17T13:11:32Z</dcterms:created>
  <dc:creator>cib</dc:creator>
  <cp:lastModifiedBy>袁晓伟</cp:lastModifiedBy>
  <dcterms:modified xsi:type="dcterms:W3CDTF">2024-07-17T13:13:00Z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