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gridCol w:w="259"/>
        <w:gridCol w:w="1"/>
      </w:tblGrid>
      <w:tr>
        <w:tblPrEx>
          <w:tblCellMar>
            <w:top w:w="0" w:type="dxa"/>
            <w:left w:w="10" w:type="dxa"/>
            <w:bottom w:w="0" w:type="dxa"/>
            <w:right w:w="10" w:type="dxa"/>
          </w:tblCellMar>
        </w:tblPrEx>
        <w:trPr>
          <w:gridAfter w:val="6"/>
          <w:wAfter w:w="30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6"/>
          <w:wAfter w:w="30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30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兴银理财添利日日新3号净值型理财产品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6"/>
          <w:wAfter w:w="30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6"/>
          <w:wAfter w:w="30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6"/>
          <w:wAfter w:w="30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6"/>
          <w:wAfter w:w="30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6"/>
          <w:wAfter w:w="30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6"/>
          <w:wAfter w:w="30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6"/>
          <w:wAfter w:w="30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r>
              <w:rPr>
                <w:rFonts w:ascii="宋体" w:hAnsi="宋体" w:eastAsia="宋体" w:cs="宋体"/>
                <w:color w:val="000000"/>
                <w:sz w:val="21"/>
              </w:rPr>
              <w:br w:type="textWrapping"/>
            </w:r>
            <w:r>
              <w:rPr>
                <w:rFonts w:ascii="宋体" w:hAnsi="宋体" w:eastAsia="宋体" w:cs="宋体"/>
                <w:color w:val="000000"/>
                <w:sz w:val="21"/>
              </w:rPr>
              <w:t xml:space="preserve">     8. 影响理财份额投资人决策的其他重要信息</w:t>
            </w:r>
          </w:p>
        </w:tc>
        <w:tc>
          <w:p>
            <w:pPr>
              <w:pStyle w:val="4"/>
            </w:pPr>
          </w:p>
        </w:tc>
        <w:tc>
          <w:p>
            <w:pPr>
              <w:pStyle w:val="4"/>
            </w:pPr>
          </w:p>
        </w:tc>
      </w:tr>
      <w:tr>
        <w:tblPrEx>
          <w:tblCellMar>
            <w:top w:w="0" w:type="dxa"/>
            <w:left w:w="10" w:type="dxa"/>
            <w:bottom w:w="0" w:type="dxa"/>
            <w:right w:w="10" w:type="dxa"/>
          </w:tblCellMar>
        </w:tblPrEx>
        <w:trPr>
          <w:gridAfter w:val="6"/>
          <w:wAfter w:w="30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6"/>
          <w:wAfter w:w="300" w:type="dxa"/>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6"/>
          <w:wAfter w:w="300" w:type="dxa"/>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6"/>
          <w:wAfter w:w="300" w:type="dxa"/>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6"/>
          <w:wAfter w:w="300" w:type="dxa"/>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6"/>
          <w:wAfter w:w="300" w:type="dxa"/>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兴银理财添利日日新3号净值型理财产品</w:t>
            </w: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9B310130</w:t>
            </w: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Z7002022000035</w:t>
            </w: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37,952,481,040.85份</w:t>
            </w: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R1</w:t>
            </w: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6"/>
          <w:wAfter w:w="30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6"/>
          <w:wAfter w:w="300" w:type="dxa"/>
          <w:trHeight w:val="3000" w:hRule="exact"/>
        </w:trPr>
        <w:tc>
          <w:p>
            <w:pPr>
              <w:pStyle w:val="4"/>
            </w:pPr>
          </w:p>
        </w:tc>
        <w:tc>
          <w:tcPr>
            <w:gridSpan w:val="14"/>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6,411,093,254.00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2,743,321,113.06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817,459,119.88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406,755,955.55</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6"/>
          <w:wAfter w:w="300" w:type="dxa"/>
          <w:trHeight w:val="4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0" w:hRule="atLeast"/>
        </w:trPr>
        <w:tc>
          <w:p>
            <w:pPr>
              <w:pStyle w:val="4"/>
              <w:pageBreakBefore/>
            </w:pPr>
            <w:bookmarkStart w:id="3" w:name="JR_PAGE_ANCHOR_0_4"/>
            <w:bookmarkEnd w:id="3"/>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6"/>
          <w:wAfter w:w="300" w:type="dxa"/>
          <w:trHeight w:val="7800" w:hRule="exact"/>
        </w:trPr>
        <w:tc>
          <w:p>
            <w:pPr>
              <w:pStyle w:val="4"/>
            </w:pPr>
          </w:p>
        </w:tc>
        <w:tc>
          <w:tcPr>
            <w:gridSpan w:val="14"/>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兴银添利日日新3号E</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9B31013E</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3,243,575,874.05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兴银添利日日新3号F</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9B31013F</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161,590,070.93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兴银添利日日新3号G</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9B31013G</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3,553,359,253.49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兴银添利日日新3号H</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9B31013H</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418,002,417.60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兴银添利日日新3号I</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9B31013I</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89,242,835.73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兴银添利日日新3号J</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9B31013J</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17,387,962,162.37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兴银添利日日新3号K</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9B31013K</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102,641,165.18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兴银添利日日新3号L</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9B31013L</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1,800,220,185.82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兴银添利日日新3号M</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9B31013M</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688,388,244.46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兴银添利日日新3号O</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9B31013O</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69,400,660.35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兴银添利日日新3号Q</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9B31013Q</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56,350,309.09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兴银添利日日新3号T</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9B31013T</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3,118,419.29</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6"/>
          <w:wAfter w:w="300" w:type="dxa"/>
          <w:trHeight w:val="8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p>
            <w:pPr>
              <w:pStyle w:val="4"/>
            </w:pPr>
          </w:p>
        </w:tc>
      </w:tr>
      <w:tr>
        <w:tblPrEx>
          <w:tblCellMar>
            <w:top w:w="0" w:type="dxa"/>
            <w:left w:w="10" w:type="dxa"/>
            <w:bottom w:w="0" w:type="dxa"/>
            <w:right w:w="10" w:type="dxa"/>
          </w:tblCellMar>
        </w:tblPrEx>
        <w:trPr>
          <w:gridAfter w:val="6"/>
          <w:wAfter w:w="30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14"/>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gridAfter w:val="6"/>
          <w:wAfter w:w="300" w:type="dxa"/>
          <w:trHeight w:val="4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9B31013E</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9B31013F</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2.41</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6"/>
          <w:wAfter w:w="300" w:type="dxa"/>
          <w:trHeight w:val="54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6"/>
          <w:wAfter w:w="30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6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9B31013G</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9B31013H</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9B31013I</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9B31013J</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9B31013K</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9B31013L</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9B31013M</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9B31013O</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9B31013Q</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2.28</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6"/>
          <w:wAfter w:w="300" w:type="dxa"/>
          <w:trHeight w:val="5260" w:hRule="atLeast"/>
        </w:trPr>
        <w:tc>
          <w:p>
            <w:pPr>
              <w:pStyle w:val="4"/>
            </w:pPr>
          </w:p>
        </w:tc>
        <w:tc>
          <w:tcPr>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业绩比较基准（9B31013A）：通知存款七天+浮动基数0%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业绩比较基准（9B31013B）：通知存款七天+浮动基数0%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业绩比较基准（9B31013C）：通知存款七天+浮动基数0%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业绩比较基准（9B31013D）：通知存款七天+浮动基数0%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业绩比较基准（9B31013E）：通知存款七天+浮动基数0%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业绩比较基准（9B31013F）：通知存款七天+浮动基数0%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业绩比较基准（9B31013G）：通知存款七天+浮动基数0%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业绩比较基准（9B31013H）：通知存款七天+浮动基数0%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业绩比较基准（9B31013I）：通知存款七天+浮动基数0%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业绩比较基准（9B31013J）：通知存款七天+浮动基数0%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业绩比较基准（9B31013K）：通知存款七天+浮动基数0%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业绩比较基准（9B31013L）：通知存款七天+浮动基数0%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业绩比较基准（9B31013M）：通知存款七天+浮动基数0%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业绩比较基准（9B31013O）：通知存款七天+浮动基数0%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业绩比较基准（9B31013Q）：通知存款七天+浮动基数0%</w:t>
            </w:r>
            <w:r>
              <w:rPr>
                <w:rFonts w:ascii="宋体" w:hAnsi="宋体" w:eastAsia="宋体" w:cs="宋体"/>
                <w:color w:val="000000"/>
                <w:sz w:val="21"/>
              </w:rPr>
              <w:br w:type="textWrapping"/>
            </w:r>
            <w:r>
              <w:rPr>
                <w:rFonts w:ascii="宋体" w:hAnsi="宋体" w:eastAsia="宋体" w:cs="宋体"/>
                <w:color w:val="000000"/>
                <w:sz w:val="21"/>
              </w:rPr>
              <w:t>业绩比较基准（9B31013T）：通知存款七天+浮动基数0%</w:t>
            </w:r>
          </w:p>
        </w:tc>
        <w:tc>
          <w:p>
            <w:pPr>
              <w:pStyle w:val="4"/>
            </w:pPr>
          </w:p>
        </w:tc>
      </w:tr>
      <w:tr>
        <w:tblPrEx>
          <w:tblCellMar>
            <w:top w:w="0" w:type="dxa"/>
            <w:left w:w="10" w:type="dxa"/>
            <w:bottom w:w="0" w:type="dxa"/>
            <w:right w:w="10" w:type="dxa"/>
          </w:tblCellMar>
        </w:tblPrEx>
        <w:trPr>
          <w:gridAfter w:val="6"/>
          <w:wAfter w:w="300" w:type="dxa"/>
          <w:trHeight w:val="314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0" w:hRule="atLeast"/>
        </w:trPr>
        <w:tc>
          <w:p>
            <w:pPr>
              <w:pStyle w:val="4"/>
              <w:pageBreakBefore/>
            </w:pPr>
            <w:bookmarkStart w:id="5" w:name="JR_PAGE_ANCHOR_0_6"/>
            <w:bookmarkEnd w:id="5"/>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6"/>
          <w:wAfter w:w="30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2820" w:hRule="atLeast"/>
        </w:trPr>
        <w:tc>
          <w:p>
            <w:pPr>
              <w:pStyle w:val="4"/>
            </w:pPr>
          </w:p>
        </w:tc>
        <w:tc>
          <w:tcPr>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（2）兴银理财添利日日新3号净值型理财产品成立于2023年03月02日，数据截止至2024年06月30日。过往业绩是由兴银理财有限责任公司计算并确认后所提供的数据。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gridAfter w:val="6"/>
          <w:wAfter w:w="30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color w:val="000000"/>
                <w:sz w:val="21"/>
              </w:rPr>
              <w:t>报告期末，产品收益具体如下：</w:t>
            </w:r>
          </w:p>
        </w:tc>
        <w:tc>
          <w:p>
            <w:pPr>
              <w:pStyle w:val="4"/>
            </w:pPr>
          </w:p>
        </w:tc>
      </w:tr>
      <w:tr>
        <w:tblPrEx>
          <w:tblCellMar>
            <w:top w:w="0" w:type="dxa"/>
            <w:left w:w="10" w:type="dxa"/>
            <w:bottom w:w="0" w:type="dxa"/>
            <w:right w:w="10" w:type="dxa"/>
          </w:tblCellMar>
        </w:tblPrEx>
        <w:trPr>
          <w:gridAfter w:val="6"/>
          <w:wAfter w:w="300" w:type="dxa"/>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200"/>
              <w:gridCol w:w="1800"/>
              <w:gridCol w:w="2000"/>
              <w:gridCol w:w="2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万份收益</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七日年化收益率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0.5294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1.9810%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37,952,481,040.85</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6"/>
          <w:wAfter w:w="300" w:type="dxa"/>
          <w:trHeight w:val="9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200"/>
              <w:gridCol w:w="1800"/>
              <w:gridCol w:w="2000"/>
              <w:gridCol w:w="2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万份收益</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七日年化收益率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0.4963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1.8640%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6,411,093,254.00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0.5237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1.9640%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2,743,321,113.06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0.5511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817,459,119.88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0.5237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1.9670%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406,755,955.55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9B31013E</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0.4963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1.8600%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3,243,575,874.05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9B31013F</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0.5511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161,590,070.93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9B31013G</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0.5511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3,553,359,253.49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9B31013H</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0.5511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418,002,417.60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9B31013I</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0.5511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89,242,835.73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9B31013J</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0.5374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17,387,962,162.37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9B31013K</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0.5648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2.1210%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102,641,165.18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9B31013L</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0.5758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2.2390%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1,800,220,185.82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9B31013M</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0.5374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688,388,244.46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9B31013O</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0.4963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1.8660%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69,400,660.35</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6"/>
          <w:wAfter w:w="300" w:type="dxa"/>
          <w:trHeight w:val="38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6"/>
          <w:wAfter w:w="30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280" w:type="dxa"/>
          <w:trHeight w:val="0" w:hRule="atLeast"/>
        </w:trPr>
        <w:tc>
          <w:p>
            <w:pPr>
              <w:pStyle w:val="4"/>
              <w:pageBreakBefore/>
            </w:pPr>
            <w:bookmarkStart w:id="6" w:name="JR_PAGE_ANCHOR_0_7"/>
            <w:bookmarkEnd w:id="6"/>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200"/>
              <w:gridCol w:w="1800"/>
              <w:gridCol w:w="2000"/>
              <w:gridCol w:w="2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万份收益</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七日年化收益率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9B31013Q</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0.4689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1.7650%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56,350,309.09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9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9B31013T</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0.5648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2.1220%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3,118,419.29</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5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2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1240" w:hRule="atLeast"/>
        </w:trPr>
        <w:tc>
          <w:p>
            <w:pPr>
              <w:pStyle w:val="4"/>
            </w:pPr>
          </w:p>
        </w:tc>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陈施颖女士，清华大学理学学士、金融学硕士，中级经济师，10年固定收益市场投资交易经验。2013年加入兴业银行、2020年加入兴银理财，历任货币市场交易员、债券投资经理、理财产品组合投资经理，现任现金管理部投资经理、总经理助理，管理产品规模超过2000亿，善于大组合的资产配置和流动性管理，在管产品包括“兴银理财添利日日新3号”“兴业银行金雪球添利快线净值型理财产品”等。</w:t>
            </w:r>
          </w:p>
        </w:tc>
        <w:tc>
          <w:p>
            <w:pPr>
              <w:pStyle w:val="4"/>
            </w:pPr>
          </w:p>
        </w:tc>
      </w:tr>
      <w:tr>
        <w:tblPrEx>
          <w:tblCellMar>
            <w:top w:w="0" w:type="dxa"/>
            <w:left w:w="10" w:type="dxa"/>
            <w:bottom w:w="0" w:type="dxa"/>
            <w:right w:w="10" w:type="dxa"/>
          </w:tblCellMar>
        </w:tblPrEx>
        <w:trPr>
          <w:gridAfter w:val="4"/>
          <w:wAfter w:w="280" w:type="dxa"/>
          <w:trHeight w:val="6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1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592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 宏观经济及市场情况</w:t>
            </w:r>
            <w:r>
              <w:rPr>
                <w:rFonts w:ascii="宋体" w:hAnsi="宋体" w:eastAsia="宋体" w:cs="宋体"/>
                <w:color w:val="000000"/>
                <w:sz w:val="21"/>
              </w:rPr>
              <w:br w:type="textWrapping"/>
            </w:r>
            <w:r>
              <w:rPr>
                <w:rFonts w:ascii="宋体" w:hAnsi="宋体" w:eastAsia="宋体" w:cs="宋体"/>
                <w:color w:val="000000"/>
                <w:sz w:val="21"/>
              </w:rPr>
              <w:t xml:space="preserve">    4月份，受“存款手工补息”事件影响，资金涌入债券市场，叠加政府债发行供给偏弱，资产荒行情持续演绎，债券收益率快速下行，信用利差进一步压缩。4月23日，央行提示长债利率风险引发市场调整，债市回调。5月份，地产政策连续出台，带动长端利率快速上行。但政策出台后地产修复程度偏弱，经济延续疲弱态势，债市呈现震荡走势。6月以来，资金面维持平稳偏松，短端收益率快速下行，理财赎回压力不大，跨季资金保持平稳，利率继续下行，10年国债、30年国债分别下行至2.20%和2.42%，收益率曲线继续平坦化。</w:t>
            </w:r>
            <w:r>
              <w:rPr>
                <w:rFonts w:ascii="宋体" w:hAnsi="宋体" w:eastAsia="宋体" w:cs="宋体"/>
                <w:color w:val="000000"/>
                <w:sz w:val="21"/>
              </w:rPr>
              <w:br w:type="textWrapping"/>
            </w:r>
            <w:r>
              <w:rPr>
                <w:rFonts w:ascii="宋体" w:hAnsi="宋体" w:eastAsia="宋体" w:cs="宋体"/>
                <w:color w:val="000000"/>
                <w:sz w:val="21"/>
              </w:rPr>
              <w:t xml:space="preserve">    展望后市，</w:t>
            </w:r>
            <w:r>
              <w:rPr>
                <w:rFonts w:hint="eastAsia" w:ascii="宋体" w:hAnsi="宋体" w:eastAsia="宋体" w:cs="宋体"/>
                <w:color w:val="000000"/>
                <w:sz w:val="21"/>
                <w:lang w:eastAsia="zh-CN"/>
              </w:rPr>
              <w:t>基本面出口强内需弱</w:t>
            </w:r>
            <w:bookmarkStart w:id="11" w:name="_GoBack"/>
            <w:bookmarkEnd w:id="11"/>
            <w:r>
              <w:rPr>
                <w:rFonts w:ascii="宋体" w:hAnsi="宋体" w:eastAsia="宋体" w:cs="宋体"/>
                <w:color w:val="000000"/>
                <w:sz w:val="21"/>
              </w:rPr>
              <w:t>的分化态势短期内难言反转；央行确认将持续借入并卖出国债，并增设临时正、逆回购操作。长端受政策扰动承压、买盘欠配的情况下不排除曲线走陡、短期内短期限资产进一步走低的可能性。资金预计仍保持宽松，但新的利率走廊下限也限制了下行幅度和做多赔率。叠加政策进入高波动期，短端料将维持窄区间震荡态势并在年底前逐步中枢回升。在整体利率和信用利差偏低的情况下，维持底仓票息资产适度配置的前提下关注政府债发行、机构行为等的边际变化，把握配置机会。</w:t>
            </w:r>
            <w:r>
              <w:rPr>
                <w:rFonts w:ascii="宋体" w:hAnsi="宋体" w:eastAsia="宋体" w:cs="宋体"/>
                <w:color w:val="000000"/>
                <w:sz w:val="21"/>
              </w:rPr>
              <w:br w:type="textWrapping"/>
            </w:r>
            <w:r>
              <w:rPr>
                <w:rFonts w:ascii="宋体" w:hAnsi="宋体" w:eastAsia="宋体" w:cs="宋体"/>
                <w:color w:val="000000"/>
                <w:sz w:val="21"/>
              </w:rPr>
              <w:t>二 前期运作回顾</w:t>
            </w:r>
            <w:r>
              <w:rPr>
                <w:rFonts w:ascii="宋体" w:hAnsi="宋体" w:eastAsia="宋体" w:cs="宋体"/>
                <w:color w:val="000000"/>
                <w:sz w:val="21"/>
              </w:rPr>
              <w:br w:type="textWrapping"/>
            </w:r>
            <w:r>
              <w:rPr>
                <w:rFonts w:ascii="宋体" w:hAnsi="宋体" w:eastAsia="宋体" w:cs="宋体"/>
                <w:color w:val="000000"/>
                <w:sz w:val="21"/>
              </w:rPr>
              <w:t xml:space="preserve">    报告期内，本产品始终将保持流动性安全和防范信用风险作为第一要务，在此基础上通过稳健的投资风格实现相对稳定的收益。我们根据产品负债变化和市场情况适时调整投资策略和建仓节奏，信用债等票息资产稳步建仓、交易性仓位灵活摆布，在保证组合流动性安全的前提下积极把握市场调整的买入机会。</w:t>
            </w:r>
            <w:r>
              <w:rPr>
                <w:rFonts w:ascii="宋体" w:hAnsi="宋体" w:eastAsia="宋体" w:cs="宋体"/>
                <w:color w:val="000000"/>
                <w:sz w:val="21"/>
              </w:rPr>
              <w:br w:type="textWrapping"/>
            </w:r>
            <w:r>
              <w:rPr>
                <w:rFonts w:ascii="宋体" w:hAnsi="宋体" w:eastAsia="宋体" w:cs="宋体"/>
                <w:color w:val="000000"/>
                <w:sz w:val="21"/>
              </w:rPr>
              <w:t>三 后期投资策略</w:t>
            </w:r>
            <w:r>
              <w:rPr>
                <w:rFonts w:ascii="宋体" w:hAnsi="宋体" w:eastAsia="宋体" w:cs="宋体"/>
                <w:color w:val="000000"/>
                <w:sz w:val="21"/>
              </w:rPr>
              <w:br w:type="textWrapping"/>
            </w:r>
            <w:r>
              <w:rPr>
                <w:rFonts w:ascii="宋体" w:hAnsi="宋体" w:eastAsia="宋体" w:cs="宋体"/>
                <w:color w:val="000000"/>
                <w:sz w:val="21"/>
              </w:rPr>
              <w:t xml:space="preserve">    下阶段本产品仍然会坚持以安全性和流动性优先、兼顾收益性的稳健策略，综合考量各类资产的风险收益特征，根据市场情况灵活把握投资节奏。结合负债端情况提前布局产品流动性，保障产品运作安全。</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4"/>
          <w:wAfter w:w="280" w:type="dxa"/>
          <w:trHeight w:val="20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28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0" w:hRule="atLeast"/>
        </w:trPr>
        <w:tc>
          <w:p>
            <w:pPr>
              <w:pStyle w:val="4"/>
              <w:pageBreakBefore/>
            </w:pPr>
            <w:bookmarkStart w:id="7" w:name="JR_PAGE_ANCHOR_0_8"/>
            <w:bookmarkEnd w:id="7"/>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42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29.18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33.85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23.05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16.13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16.22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11.81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26.65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26.88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报告期末本产品总资产未超过该产品净资产规模的120%，符合产品协议对本产品杠杆比例的要求。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6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2240" w:hRule="atLeast"/>
        </w:trPr>
        <w:tc>
          <w:p>
            <w:pPr>
              <w:pStyle w:val="4"/>
            </w:pPr>
          </w:p>
        </w:tc>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gridAfter w:val="2"/>
          <w:wAfter w:w="260" w:type="dxa"/>
          <w:trHeight w:val="48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建设银行长沙分行活期存款</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2,900,906,250.00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7.64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农业银行广州分行活期存款</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2,233,352,566.18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农业银行哈尔滨分行活期存款</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2,165,369,854.16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质押式逆回购(11PF231273-N-14-20240630-014-IB)</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1,551,600,261.83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Z存放同业（线上）20240508027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1,505,174,999.82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质押式逆回购(11PF231273-N-21-20240630-021-IB)</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980,749,396.09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安联锐享7号资产管理产品持有定期存款</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867,251,973.95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2.29</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60" w:type="dxa"/>
          <w:trHeight w:val="1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60" w:type="dxa"/>
          <w:trHeight w:val="0" w:hRule="atLeast"/>
        </w:trPr>
        <w:tc>
          <w:p>
            <w:pPr>
              <w:pStyle w:val="4"/>
              <w:pageBreakBefore/>
            </w:pPr>
            <w:bookmarkStart w:id="8" w:name="JR_PAGE_ANCHOR_0_9"/>
            <w:bookmarkEnd w:id="8"/>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18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23CSFD200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713,354,082.19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23CSFD198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713,244,958.91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安联锐享13号资产管理产品持有定期存款</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564,377,599.47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1.49</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60" w:type="dxa"/>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gridAfter w:val="2"/>
          <w:wAfter w:w="260" w:type="dxa"/>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60" w:type="dxa"/>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60" w:type="dxa"/>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9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24京能2号ABN002优先</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24东裕3仲裕ABN001优先</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23吉利SCP008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24兴湘投资SCP001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23荆州城发CP001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24广建瑞诚ABN001优先</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24湖北港口SCP001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24京能1号ABN002优先(绿色)</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23一汽租赁CP005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24吉利SCP002(科创票据)</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24益航资产SCP001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23湖北港口SCP005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24东裕2秋裕ABN001优先</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23一汽租赁CP004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9/</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0" w:hRule="atLeast"/>
        </w:trPr>
        <w:tc>
          <w:p>
            <w:pPr>
              <w:pStyle w:val="4"/>
              <w:pageBreakBefore/>
            </w:pPr>
            <w:bookmarkStart w:id="9" w:name="JR_PAGE_ANCHOR_0_10"/>
            <w:bookmarkEnd w:id="9"/>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4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24中交一航2ABN001优先(科创票据)</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21粤电发MTN001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21江北新区MTN004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23越秀资本CP001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23东方新城SCP005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24福耀玻璃SCP001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21发展02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4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兴银理财添利日日新3号净值型理财产品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224.0187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兴银理财添利日日新3号净值型理财产品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712.2931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债券质押式回购</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4.4521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正回购</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债券质押式回购</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4.7943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正回购</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厦门国际银行股份有限公司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兴银理财添利日日新3号净值型理财产品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5.2267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兴银理财添利日日新3号净值型理财产品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0.2235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厦门国际银行股份有限公司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兴银理财添利日日新3号净值型理财产品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12.1826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快赎垫资服务</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gridAfter w:val="2"/>
          <w:wAfter w:w="260" w:type="dxa"/>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051010100101564105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兴银理财添利日日新3号净值型理财产品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60" w:type="dxa"/>
          <w:trHeight w:val="16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60" w:type="dxa"/>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10/</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0" w:name="JR_PAGE_ANCHOR_0_11"/>
            <w:bookmarkEnd w:id="10"/>
          </w:p>
        </w:tc>
        <w:tc>
          <w:tcPr>
            <w:gridSpan w:val="6"/>
          </w:tcPr>
          <w:p>
            <w:pPr>
              <w:pStyle w:val="4"/>
            </w:pPr>
          </w:p>
        </w:tc>
        <w:tc>
          <w:tcPr>
            <w:gridSpan w:val="3"/>
          </w:tcPr>
          <w:p>
            <w:pPr>
              <w:pStyle w:val="4"/>
            </w:pPr>
          </w:p>
        </w:tc>
        <w:tc>
          <w:tcPr>
            <w:gridSpan w:val="2"/>
          </w:tcPr>
          <w:p>
            <w:pPr>
              <w:pStyle w:val="4"/>
            </w:pPr>
          </w:p>
        </w:tc>
        <w:tc>
          <w:tcPr>
            <w:gridSpan w:val="3"/>
          </w:tcPr>
          <w:p>
            <w:pPr>
              <w:pStyle w:val="4"/>
            </w:pPr>
          </w:p>
        </w:tc>
        <w:tc>
          <w:tcPr>
            <w:gridSpan w:val="6"/>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兴银理财添利日日新3号净值型理财产品2024年第二季度报告</w:t>
            </w:r>
          </w:p>
        </w:tc>
        <w:tc>
          <w:tcPr>
            <w:gridSpan w:val="6"/>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tcPr>
            <w:gridSpan w:val="6"/>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6"/>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0"/>
            <w:tcMar>
              <w:top w:w="0" w:type="dxa"/>
              <w:left w:w="0" w:type="dxa"/>
              <w:bottom w:w="0" w:type="dxa"/>
              <w:right w:w="0" w:type="dxa"/>
            </w:tcMar>
            <w:vAlign w:val="center"/>
          </w:tcPr>
          <w:p>
            <w:pPr>
              <w:jc w:val="left"/>
            </w:pPr>
            <w:r>
              <w:rPr>
                <w:rFonts w:ascii="宋体" w:hAnsi="宋体" w:eastAsia="宋体" w:cs="宋体"/>
                <w:b/>
                <w:color w:val="000000"/>
                <w:sz w:val="21"/>
              </w:rPr>
              <w:t>8.影响理财份额投资人决策的其他重要信息</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0"/>
            <w:tcMar>
              <w:top w:w="0" w:type="dxa"/>
              <w:left w:w="0" w:type="dxa"/>
              <w:bottom w:w="0" w:type="dxa"/>
              <w:right w:w="0" w:type="dxa"/>
            </w:tcMar>
            <w:vAlign w:val="center"/>
          </w:tcPr>
          <w:p>
            <w:pPr>
              <w:jc w:val="left"/>
            </w:pPr>
            <w:r>
              <w:rPr>
                <w:rFonts w:ascii="宋体" w:hAnsi="宋体" w:eastAsia="宋体" w:cs="宋体"/>
                <w:color w:val="000000"/>
                <w:sz w:val="20"/>
              </w:rPr>
              <w:t xml:space="preserve"> 8.1报告期内单一投资者持有产品份额达到或者超过该产品总份额20%的情形</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0"/>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0"/>
            </w:tblGrid>
            <w:tr>
              <w:tblPrEx>
                <w:tblCellMar>
                  <w:top w:w="0" w:type="dxa"/>
                  <w:left w:w="10" w:type="dxa"/>
                  <w:bottom w:w="0" w:type="dxa"/>
                  <w:right w:w="10" w:type="dxa"/>
                </w:tblCellMar>
              </w:tblPrEx>
              <w:trPr>
                <w:trHeight w:val="600" w:hRule="exact"/>
              </w:trPr>
              <w:tc>
                <w:tcPr>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left"/>
                        </w:pPr>
                        <w:r>
                          <w:rPr>
                            <w:rFonts w:ascii="宋体" w:hAnsi="宋体" w:eastAsia="宋体" w:cs="宋体"/>
                            <w:color w:val="000000"/>
                            <w:sz w:val="21"/>
                          </w:rPr>
                          <w:t xml:space="preserve">    本产品本报告期无单一投资者持有产品份额达到或者超过该产品总份额20%的情形。</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tcPr>
            <w:gridSpan w:val="6"/>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6"/>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6"/>
          </w:tcPr>
          <w:p>
            <w:pPr>
              <w:pStyle w:val="4"/>
            </w:pPr>
          </w:p>
        </w:tc>
        <w:tc>
          <w:p>
            <w:pPr>
              <w:pStyle w:val="4"/>
            </w:pPr>
          </w:p>
        </w:tc>
      </w:tr>
      <w:tr>
        <w:tblPrEx>
          <w:tblCellMar>
            <w:top w:w="0" w:type="dxa"/>
            <w:left w:w="10" w:type="dxa"/>
            <w:bottom w:w="0" w:type="dxa"/>
            <w:right w:w="10" w:type="dxa"/>
          </w:tblCellMar>
        </w:tblPrEx>
        <w:trPr>
          <w:trHeight w:val="11335"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tcPr>
            <w:gridSpan w:val="6"/>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11</w:t>
            </w:r>
          </w:p>
        </w:tc>
        <w:tc>
          <w:tcPr>
            <w:gridSpan w:val="3"/>
          </w:tcPr>
          <w:p>
            <w:pPr>
              <w:pStyle w:val="4"/>
            </w:pPr>
          </w:p>
        </w:tc>
        <w:tc>
          <w:tcPr>
            <w:gridSpan w:val="6"/>
          </w:tcPr>
          <w:p>
            <w:pPr>
              <w:pStyle w:val="4"/>
            </w:pPr>
          </w:p>
        </w:tc>
        <w:tc>
          <w:p>
            <w:pPr>
              <w:pStyle w:val="4"/>
            </w:pPr>
          </w:p>
        </w:tc>
      </w:tr>
    </w:tbl>
    <w:p/>
    <w:sectPr>
      <w:pgSz w:w="11900" w:h="16840"/>
      <w:pgMar w:top="600" w:right="3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39134EEE"/>
    <w:rsid w:val="4BA6474F"/>
    <w:rsid w:val="7F4D52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TD"/>
    <w:qFormat/>
    <w:uiPriority w:val="0"/>
    <w:pPr>
      <w:spacing w:line="240" w:lineRule="auto"/>
    </w:pPr>
    <w:rPr>
      <w:rFonts w:ascii="SansSerif" w:hAnsi="SansSerif" w:eastAsia="SansSerif" w:cs="SansSerif"/>
      <w:color w:val="000000"/>
      <w:sz w:val="20"/>
      <w:szCs w:val="22"/>
    </w:rPr>
  </w:style>
  <w:style w:type="paragraph" w:customStyle="1" w:styleId="7">
    <w:name w:val="Table_CH"/>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2024-07-17T14:25:00Z</dcterms:created>
  <dc:creator>cib</dc:creator>
  <cp:lastModifiedBy>夏海龙</cp:lastModifiedBy>
  <dcterms:modified xsi:type="dcterms:W3CDTF">2024-07-18T09:05:48Z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