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兴银理财稳利丰收封闭式45号固收类理财产品</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兴银理财稳利丰收封闭式45号固收类理财产品2024年第二季度报告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兴银理财稳利丰收封闭式45号固收类理财产品2024年第二季度报告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兴银理财稳利丰收封闭式45号固收类理财产品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9C310450</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Z7002023000472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封闭式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159,327,388份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稳利丰收封闭式45号A</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9C31045A</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159,327,388.00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12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兴银理财稳利丰收封闭式45号固收类理财产品2024年第二季度报告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gridCol w:w="2100"/>
              <w:gridCol w:w="2200"/>
              <w:gridCol w:w="2200"/>
              <w:gridCol w:w="22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近1月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近3月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近6月</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9C31045A</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5.92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6.03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6.30</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业绩比较基准（9C31045A）：3.40%--4.20%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（2）兴银理财稳利丰收封闭式45号固收类理财产品成立于2023年10月17日，数据截止至2024年06月30日。过往业绩是由兴银理财有限责任公司计算并确认后所提供的数据。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9C310450</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166,336,908.77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9C31045A</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1.04399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166,336,908.77</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邓铮先生，厦门大学学士，英国赫尔大学金融管理硕士，拥有11年金融从业经验，现任兴银理财专户投资部投资经理。2019年加入兴业银行资产管理事业部，历任兴业银行资产管理事业部权益投资部、兴银理财股票与量化投资部投资经理。目前管理日盈、季盈开放式产品和各期限定开专户固收产品。深耕大类资产配置，擅长各类资产的价值挖掘，具有丰富的固收+投资经验，投资风格稳健，累计管理规模超过300亿。</w:t>
            </w:r>
          </w:p>
        </w:tc>
        <w:tc>
          <w:tcPr>
            <w:gridSpan w:val="4"/>
          </w:tcPr>
          <w:p>
            <w:pPr>
              <w:pStyle w:val="4"/>
            </w:pPr>
          </w:p>
        </w:tc>
        <w:tc>
          <w:p>
            <w:pPr>
              <w:pStyle w:val="4"/>
            </w:pPr>
          </w:p>
        </w:tc>
      </w:tr>
      <w:tr>
        <w:tblPrEx>
          <w:tblCellMar>
            <w:top w:w="0" w:type="dxa"/>
            <w:left w:w="10" w:type="dxa"/>
            <w:bottom w:w="0" w:type="dxa"/>
            <w:right w:w="10" w:type="dxa"/>
          </w:tblCellMar>
        </w:tblPrEx>
        <w:trPr>
          <w:trHeight w:val="1741"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兴银理财稳利丰收封闭式45号固收类理财产品2024年第二季度报告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9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一、2024年二季度市场回顾与产品投资策略</w:t>
            </w:r>
            <w:r>
              <w:rPr>
                <w:rFonts w:ascii="宋体" w:hAnsi="宋体" w:eastAsia="宋体" w:cs="宋体"/>
                <w:color w:val="000000"/>
                <w:sz w:val="21"/>
              </w:rPr>
              <w:br w:type="textWrapping"/>
            </w:r>
            <w:r>
              <w:rPr>
                <w:rFonts w:ascii="宋体" w:hAnsi="宋体" w:eastAsia="宋体" w:cs="宋体"/>
                <w:color w:val="000000"/>
                <w:sz w:val="21"/>
              </w:rPr>
              <w:t>1、市场回顾</w:t>
            </w:r>
            <w:r>
              <w:rPr>
                <w:rFonts w:ascii="宋体" w:hAnsi="宋体" w:eastAsia="宋体" w:cs="宋体"/>
                <w:color w:val="000000"/>
                <w:sz w:val="21"/>
              </w:rPr>
              <w:br w:type="textWrapping"/>
            </w:r>
            <w:r>
              <w:rPr>
                <w:rFonts w:ascii="宋体" w:hAnsi="宋体" w:eastAsia="宋体" w:cs="宋体"/>
                <w:color w:val="000000"/>
                <w:sz w:val="21"/>
              </w:rPr>
              <w:t xml:space="preserve">    2024年二季度以来，债券收益率延续一季度下行趋势。10年国债收益率下行约10bp至2.20%附近位置，30年国债收益率震荡中下行约3bp至2.43%附近。1年国股NCD二季度收益率下行约25bp至1.95%附近，2-3年AA+信用债收益率整体下行40bp左右至2.17%-2.24%，4-5年国股二级收益率下行40bp至2.20%附近，国股永续下行40bp至2.23%-2.30%。</w:t>
            </w:r>
            <w:r>
              <w:rPr>
                <w:rFonts w:ascii="宋体" w:hAnsi="宋体" w:eastAsia="宋体" w:cs="宋体"/>
                <w:color w:val="000000"/>
                <w:sz w:val="21"/>
              </w:rPr>
              <w:br w:type="textWrapping"/>
            </w:r>
            <w:r>
              <w:rPr>
                <w:rFonts w:ascii="宋体" w:hAnsi="宋体" w:eastAsia="宋体" w:cs="宋体"/>
                <w:color w:val="000000"/>
                <w:sz w:val="21"/>
              </w:rPr>
              <w:t xml:space="preserve">    回顾二季度，资产荒行情、资金面宽松、基本面偏弱等因素推动债券收益率在震荡中延续下行。宏观基本面方面，出口回暖和刺激政策带动工业生产和制造业投资，但内需持续低迷；地产以价换量现状未改，仍在筑底阶段；专项债虽加快发行，但向实物工作量转化存在时滞，叠加4-5月天气影响，基建增速整体回落；消费略有改善，二季度增速较一季度收敛。价格指标CPI、PPI维持低位，PMI连续两个月均落于荣枯线以下；社会融资需求较弱，政府债券融资为主要支撑；受禁止手工补息和金融挤水分影响，新增社融和M1增速一度出现同时为负值情形。二季度央行多次喊话提示长端风险，但市场仅在4月底出现明显回调，后续对此反映钝化。随着中小银行下调存款利率，叠加政府债发行节奏平滑和宏观基本面持续偏弱等因素，债市在震荡中重回下行区间。</w:t>
            </w:r>
            <w:r>
              <w:rPr>
                <w:rFonts w:ascii="宋体" w:hAnsi="宋体" w:eastAsia="宋体" w:cs="宋体"/>
                <w:color w:val="000000"/>
                <w:sz w:val="21"/>
              </w:rPr>
              <w:br w:type="textWrapping"/>
            </w:r>
            <w:r>
              <w:rPr>
                <w:rFonts w:ascii="宋体" w:hAnsi="宋体" w:eastAsia="宋体" w:cs="宋体"/>
                <w:color w:val="000000"/>
                <w:sz w:val="21"/>
              </w:rPr>
              <w:t>2、产品运作</w:t>
            </w:r>
            <w:r>
              <w:rPr>
                <w:rFonts w:ascii="宋体" w:hAnsi="宋体" w:eastAsia="宋体" w:cs="宋体"/>
                <w:color w:val="000000"/>
                <w:sz w:val="21"/>
              </w:rPr>
              <w:br w:type="textWrapping"/>
            </w:r>
            <w:r>
              <w:rPr>
                <w:rFonts w:ascii="宋体" w:hAnsi="宋体" w:eastAsia="宋体" w:cs="宋体"/>
                <w:color w:val="000000"/>
                <w:sz w:val="21"/>
              </w:rPr>
              <w:t xml:space="preserve">    二季度以来，产品在震荡环境中以票息策略为主，在策略上保持了中性组合杠杆和中性久期，把握国股行二永债等流动性较好的投资品种，同时积极进行波段交易，增厚组合收益，保证组合在降低产品波动的同时获得了较好的持有收益。整体而言，二季度产品净值继续延续了一季度稳步增长的趋势。</w:t>
            </w:r>
            <w:r>
              <w:rPr>
                <w:rFonts w:ascii="宋体" w:hAnsi="宋体" w:eastAsia="宋体" w:cs="宋体"/>
                <w:color w:val="000000"/>
                <w:sz w:val="21"/>
              </w:rPr>
              <w:br w:type="textWrapping"/>
            </w:r>
            <w:r>
              <w:rPr>
                <w:rFonts w:ascii="宋体" w:hAnsi="宋体" w:eastAsia="宋体" w:cs="宋体"/>
                <w:color w:val="000000"/>
                <w:sz w:val="21"/>
              </w:rPr>
              <w:t>二、2024年三季度展望与投资</w:t>
            </w:r>
            <w:r>
              <w:rPr>
                <w:rFonts w:ascii="宋体" w:hAnsi="宋体" w:eastAsia="宋体" w:cs="宋体"/>
                <w:color w:val="000000"/>
                <w:sz w:val="21"/>
              </w:rPr>
              <w:br w:type="textWrapping"/>
            </w:r>
            <w:r>
              <w:rPr>
                <w:rFonts w:ascii="宋体" w:hAnsi="宋体" w:eastAsia="宋体" w:cs="宋体"/>
                <w:color w:val="000000"/>
                <w:sz w:val="21"/>
              </w:rPr>
              <w:t>1、2024年三季度展望</w:t>
            </w:r>
            <w:r>
              <w:rPr>
                <w:rFonts w:ascii="宋体" w:hAnsi="宋体" w:eastAsia="宋体" w:cs="宋体"/>
                <w:color w:val="000000"/>
                <w:sz w:val="21"/>
              </w:rPr>
              <w:br w:type="textWrapping"/>
            </w:r>
            <w:r>
              <w:rPr>
                <w:rFonts w:ascii="宋体" w:hAnsi="宋体" w:eastAsia="宋体" w:cs="宋体"/>
                <w:color w:val="000000"/>
                <w:sz w:val="21"/>
              </w:rPr>
              <w:t xml:space="preserve">    2024年三季度基本面预计继续维持弱复苏、低通胀的状态，地产政策出台后更多是以价换量行情，房价下跌预期短期内难言逆转。跨季后，随着银行理财、公募基金资金回流，资金面预计维持宽松。央行货币框架有所变动，以OMO作为短端的锚，淡化MLF对长端的指导作用，后续或主动参与债券买卖或债券借入交易指导市场利率。央行参与市场的行为对债市的影响更趋于短期脉冲式扰动，真正定价还在基本面。随着存款利率等广谱利率的下调，贷款利率仍存在降息空间。供需方面，城投债融资预计将继续缩量，资金配置需求仍强，债市将持续处于“资产荒”行情中。整体而言，对三季度债市维持震荡偏强的判断。</w:t>
            </w:r>
            <w:r>
              <w:rPr>
                <w:rFonts w:ascii="宋体" w:hAnsi="宋体" w:eastAsia="宋体" w:cs="宋体"/>
                <w:color w:val="000000"/>
                <w:sz w:val="21"/>
              </w:rPr>
              <w:br w:type="textWrapping"/>
            </w:r>
            <w:r>
              <w:rPr>
                <w:rFonts w:ascii="宋体" w:hAnsi="宋体" w:eastAsia="宋体" w:cs="宋体"/>
                <w:color w:val="000000"/>
                <w:sz w:val="21"/>
              </w:rPr>
              <w:t>2、投资策略</w:t>
            </w:r>
            <w:r>
              <w:rPr>
                <w:rFonts w:ascii="宋体" w:hAnsi="宋体" w:eastAsia="宋体" w:cs="宋体"/>
                <w:color w:val="000000"/>
                <w:sz w:val="21"/>
              </w:rPr>
              <w:br w:type="textWrapping"/>
            </w:r>
            <w:r>
              <w:rPr>
                <w:rFonts w:ascii="宋体" w:hAnsi="宋体" w:eastAsia="宋体" w:cs="宋体"/>
                <w:color w:val="000000"/>
                <w:sz w:val="21"/>
              </w:rPr>
              <w:t xml:space="preserve">    短期内，信用债及城投债票息及久期策略仍然占优。策略上，继续保持中性的杠杆和久期，少量仓位参与流动性较好的中高等级信用债品种交易，增厚收益，后续重点关注三季度债券供给因素和资金面变化。</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4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99.99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98.92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兴银理财稳利丰收封闭式45号固收类理财产品2024年第二季度报告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4"/>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报告期末本产品总资产未超过该产品净资产规模的200%，符合产品协议对本产品杠杆比例的要求。</w:t>
            </w: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4"/>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流动性风险是指产品在履行与金融负债有关的义务时遇到资金短缺的风险。本产品的流动性风险主要来自于若投资品种所处的交易市场不活跃，可能带来资产变现困难或产品持仓资产在市场出现剧烈波动的情况下难以以合理价格变现的风险。 为防范无法支付到期赎回款而产生的流动性风险，本理财产品管理人将合理安排所投资产期限，产品到期前完成所投资组合中相关资产变现，尽可能降低产品流动性风险，有效保障理财持有人利益。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4"/>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664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21恒丰银行永续债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5,522,211.89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22民泰商行永续债02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5,479,891.69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24重庆科城PPN001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5,234,525.65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3.15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23温州银行永续债02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4,371,030.34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22厦门农商二级01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4,318,557.11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2.60</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23晋江国资MTN005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4,226,403.07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24即墨旅投PPN001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4,190,131.60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2.52</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24知投01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4,180,283.23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23凯盛科技MTN002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4,167,962.28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2.51</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山招YK02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4,155,286.83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2.50</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2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兴银理财稳利丰收封闭式45号固收类理财产品2024年第二季度报告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atLeas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jc w:val="center"/>
                        </w:pPr>
                        <w:r>
                          <w:rPr>
                            <w:rFonts w:ascii="宋体" w:hAnsi="宋体" w:eastAsia="宋体" w:cs="宋体"/>
                            <w:color w:val="000000"/>
                            <w:sz w:val="21"/>
                          </w:rPr>
                          <w:t>无</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兴银理财稳利丰收封闭式45号固收类理财产品</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1.1787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051010100101647129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兴银理财稳利丰收封闭式45号固收类理财产品</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27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7</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800"/>
  <w:compat>
    <w:useFELayout/>
    <w:splitPgBreakAndParaMark/>
    <w:compatSetting w:name="compatibilityMode" w:uri="http://schemas.microsoft.com/office/word" w:val="12"/>
  </w:compat>
  <w:rsids>
    <w:rsidRoot w:val="00000000"/>
    <w:rsid w:val="19186F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2024-07-17T13:15:30Z</dcterms:created>
  <dc:creator>cib</dc:creator>
  <cp:lastModifiedBy>袁晓伟</cp:lastModifiedBy>
  <dcterms:modified xsi:type="dcterms:W3CDTF">2024-07-17T13:16:21Z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