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0" w:type="auto"/>
        <w:tblInd w:w="0" w:type="dxa"/>
        <w:tblLayout w:type="fixed"/>
        <w:tblCellMar>
          <w:top w:w="0" w:type="dxa"/>
          <w:left w:w="10" w:type="dxa"/>
          <w:bottom w:w="0" w:type="dxa"/>
          <w:right w:w="10" w:type="dxa"/>
        </w:tblCellMar>
      </w:tblPr>
      <w:tblGrid>
        <w:gridCol w:w="1"/>
        <w:gridCol w:w="20"/>
        <w:gridCol w:w="20"/>
        <w:gridCol w:w="60"/>
        <w:gridCol w:w="100"/>
        <w:gridCol w:w="2820"/>
        <w:gridCol w:w="380"/>
        <w:gridCol w:w="740"/>
        <w:gridCol w:w="260"/>
        <w:gridCol w:w="1000"/>
        <w:gridCol w:w="1000"/>
        <w:gridCol w:w="1000"/>
        <w:gridCol w:w="2620"/>
        <w:gridCol w:w="480"/>
        <w:gridCol w:w="200"/>
        <w:gridCol w:w="1"/>
        <w:gridCol w:w="19"/>
        <w:gridCol w:w="1"/>
        <w:gridCol w:w="19"/>
        <w:gridCol w:w="1"/>
      </w:tblGrid>
      <w:tr>
        <w:tblPrEx>
          <w:tblCellMar>
            <w:top w:w="0" w:type="dxa"/>
            <w:left w:w="10" w:type="dxa"/>
            <w:bottom w:w="0" w:type="dxa"/>
            <w:right w:w="10" w:type="dxa"/>
          </w:tblCellMar>
        </w:tblPrEx>
        <w:trPr>
          <w:gridAfter w:val="4"/>
          <w:trHeight w:val="0" w:hRule="atLeast"/>
        </w:trPr>
        <w:tc>
          <w:p>
            <w:pPr>
              <w:pStyle w:val="4"/>
            </w:pPr>
            <w:bookmarkStart w:id="0" w:name="JR_PAGE_ANCHOR_0_1"/>
            <w:bookmarkEnd w:id="0"/>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兴银理财稳利丰收封闭式51号固收类理财产品2024年第二季度报告</w:t>
            </w:r>
          </w:p>
        </w:tc>
        <w:tc>
          <w:p>
            <w:pPr>
              <w:pStyle w:val="4"/>
            </w:pPr>
          </w:p>
        </w:tc>
      </w:tr>
      <w:tr>
        <w:tblPrEx>
          <w:tblCellMar>
            <w:top w:w="0" w:type="dxa"/>
            <w:left w:w="10" w:type="dxa"/>
            <w:bottom w:w="0" w:type="dxa"/>
            <w:right w:w="10" w:type="dxa"/>
          </w:tblCellMar>
        </w:tblPrEx>
        <w:trPr>
          <w:gridAfter w:val="4"/>
          <w:trHeight w:val="2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p>
            <w:pPr>
              <w:pStyle w:val="4"/>
            </w:pPr>
          </w:p>
        </w:tc>
      </w:tr>
      <w:tr>
        <w:tblPrEx>
          <w:tblCellMar>
            <w:top w:w="0" w:type="dxa"/>
            <w:left w:w="10" w:type="dxa"/>
            <w:bottom w:w="0" w:type="dxa"/>
            <w:right w:w="10" w:type="dxa"/>
          </w:tblCellMar>
        </w:tblPrEx>
        <w:trPr>
          <w:gridAfter w:val="4"/>
          <w:trHeight w:val="96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3020" w:hRule="atLeast"/>
        </w:trPr>
        <w:tc>
          <w:p>
            <w:pPr>
              <w:pStyle w:val="4"/>
            </w:pPr>
          </w:p>
        </w:tc>
        <w:tc>
          <w:tcPr>
            <w:gridSpan w:val="14"/>
            <w:tcMar>
              <w:top w:w="0" w:type="dxa"/>
              <w:left w:w="0" w:type="dxa"/>
              <w:bottom w:w="0" w:type="dxa"/>
              <w:right w:w="0" w:type="dxa"/>
            </w:tcMar>
            <w:vAlign w:val="center"/>
          </w:tcPr>
          <w:p>
            <w:pPr>
              <w:spacing w:before="0" w:after="0" w:line="360" w:lineRule="auto"/>
              <w:jc w:val="center"/>
            </w:pPr>
            <w:r>
              <w:rPr>
                <w:rFonts w:ascii="宋体" w:hAnsi="宋体" w:eastAsia="宋体" w:cs="宋体"/>
                <w:b/>
                <w:color w:val="000000"/>
                <w:sz w:val="32"/>
              </w:rPr>
              <w:t>兴银理财稳利丰收封闭式51号固收类理财产品</w:t>
            </w:r>
            <w:r>
              <w:rPr>
                <w:rFonts w:ascii="宋体" w:hAnsi="宋体" w:eastAsia="宋体" w:cs="宋体"/>
                <w:b/>
                <w:color w:val="000000"/>
                <w:sz w:val="32"/>
              </w:rPr>
              <w:br w:type="textWrapping"/>
            </w:r>
            <w:r>
              <w:rPr>
                <w:rFonts w:ascii="宋体" w:hAnsi="宋体" w:eastAsia="宋体" w:cs="宋体"/>
                <w:b/>
                <w:color w:val="000000"/>
                <w:sz w:val="32"/>
              </w:rPr>
              <w:t>2024年第二季度报告</w:t>
            </w:r>
          </w:p>
        </w:tc>
        <w:tc>
          <w:p>
            <w:pPr>
              <w:pStyle w:val="4"/>
            </w:pPr>
          </w:p>
        </w:tc>
      </w:tr>
      <w:tr>
        <w:tblPrEx>
          <w:tblCellMar>
            <w:top w:w="0" w:type="dxa"/>
            <w:left w:w="10" w:type="dxa"/>
            <w:bottom w:w="0" w:type="dxa"/>
            <w:right w:w="10" w:type="dxa"/>
          </w:tblCellMar>
        </w:tblPrEx>
        <w:trPr>
          <w:gridAfter w:val="4"/>
          <w:trHeight w:val="660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5"/>
          </w:tcPr>
          <w:p>
            <w:pPr>
              <w:pStyle w:val="4"/>
            </w:pPr>
          </w:p>
        </w:tc>
        <w:tc>
          <w:tcPr>
            <w:gridSpan w:val="7"/>
            <w:tcMar>
              <w:top w:w="0" w:type="dxa"/>
              <w:left w:w="0" w:type="dxa"/>
              <w:bottom w:w="0" w:type="dxa"/>
              <w:right w:w="0" w:type="dxa"/>
            </w:tcMar>
            <w:vAlign w:val="center"/>
          </w:tcPr>
          <w:p>
            <w:pPr>
              <w:jc w:val="left"/>
            </w:pPr>
            <w:r>
              <w:rPr>
                <w:rFonts w:ascii="宋体" w:hAnsi="宋体" w:eastAsia="宋体" w:cs="宋体"/>
                <w:color w:val="000000"/>
                <w:sz w:val="24"/>
              </w:rPr>
              <w:t>理财产品管理人：兴银理财有限责任公司</w:t>
            </w: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5"/>
          </w:tcPr>
          <w:p>
            <w:pPr>
              <w:pStyle w:val="4"/>
            </w:pPr>
          </w:p>
        </w:tc>
        <w:tc>
          <w:tcPr>
            <w:gridSpan w:val="7"/>
            <w:tcMar>
              <w:top w:w="0" w:type="dxa"/>
              <w:left w:w="0" w:type="dxa"/>
              <w:bottom w:w="0" w:type="dxa"/>
              <w:right w:w="0" w:type="dxa"/>
            </w:tcMar>
            <w:vAlign w:val="center"/>
          </w:tcPr>
          <w:p>
            <w:pPr>
              <w:jc w:val="left"/>
            </w:pPr>
            <w:r>
              <w:rPr>
                <w:rFonts w:ascii="宋体" w:hAnsi="宋体" w:eastAsia="宋体" w:cs="宋体"/>
                <w:color w:val="000000"/>
                <w:sz w:val="24"/>
              </w:rPr>
              <w:t>理财产品托管人：兴业银行股份有限公司</w:t>
            </w: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5"/>
          </w:tcPr>
          <w:p>
            <w:pPr>
              <w:pStyle w:val="4"/>
            </w:pPr>
          </w:p>
        </w:tc>
        <w:tc>
          <w:tcPr>
            <w:gridSpan w:val="7"/>
            <w:tcMar>
              <w:top w:w="0" w:type="dxa"/>
              <w:left w:w="0" w:type="dxa"/>
              <w:bottom w:w="0" w:type="dxa"/>
              <w:right w:w="0" w:type="dxa"/>
            </w:tcMar>
            <w:vAlign w:val="center"/>
          </w:tcPr>
          <w:p>
            <w:pPr>
              <w:jc w:val="left"/>
            </w:pPr>
            <w:r>
              <w:rPr>
                <w:rFonts w:ascii="宋体" w:hAnsi="宋体" w:eastAsia="宋体" w:cs="宋体"/>
                <w:color w:val="000000"/>
                <w:sz w:val="24"/>
              </w:rPr>
              <w:t>报告送出日期：2024年7月19日</w:t>
            </w: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272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5"/>
          </w:tcPr>
          <w:p>
            <w:pPr>
              <w:pStyle w:val="4"/>
            </w:pPr>
          </w:p>
        </w:tc>
        <w:tc>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1/</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7</w:t>
            </w: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0" w:hRule="atLeast"/>
        </w:trPr>
        <w:tc>
          <w:p>
            <w:pPr>
              <w:pStyle w:val="4"/>
              <w:pageBreakBefore/>
            </w:pPr>
            <w:bookmarkStart w:id="1" w:name="JR_PAGE_ANCHOR_0_2"/>
            <w:bookmarkEnd w:id="1"/>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兴银理财稳利丰收封闭式51号固收类理财产品2024年第二季度报告</w:t>
            </w:r>
          </w:p>
        </w:tc>
        <w:tc>
          <w:p>
            <w:pPr>
              <w:pStyle w:val="4"/>
            </w:pPr>
          </w:p>
        </w:tc>
      </w:tr>
      <w:tr>
        <w:tblPrEx>
          <w:tblCellMar>
            <w:top w:w="0" w:type="dxa"/>
            <w:left w:w="10" w:type="dxa"/>
            <w:bottom w:w="0" w:type="dxa"/>
            <w:right w:w="10" w:type="dxa"/>
          </w:tblCellMar>
        </w:tblPrEx>
        <w:trPr>
          <w:gridAfter w:val="4"/>
          <w:trHeight w:val="2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p>
            <w:pPr>
              <w:pStyle w:val="4"/>
            </w:pPr>
          </w:p>
        </w:tc>
      </w:tr>
      <w:tr>
        <w:tblPrEx>
          <w:tblCellMar>
            <w:top w:w="0" w:type="dxa"/>
            <w:left w:w="10" w:type="dxa"/>
            <w:bottom w:w="0" w:type="dxa"/>
            <w:right w:w="10" w:type="dxa"/>
          </w:tblCellMar>
        </w:tblPrEx>
        <w:trPr>
          <w:gridAfter w:val="4"/>
          <w:trHeight w:val="84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600" w:hRule="atLeast"/>
        </w:trPr>
        <w:tc>
          <w:p>
            <w:pPr>
              <w:pStyle w:val="4"/>
            </w:pPr>
          </w:p>
        </w:tc>
        <w:tc>
          <w:tcPr>
            <w:gridSpan w:val="3"/>
          </w:tcPr>
          <w:p>
            <w:pPr>
              <w:pStyle w:val="4"/>
            </w:pPr>
          </w:p>
        </w:tc>
        <w:tc>
          <w:tcPr>
            <w:gridSpan w:val="3"/>
          </w:tcPr>
          <w:p>
            <w:pPr>
              <w:pStyle w:val="4"/>
            </w:pPr>
          </w:p>
        </w:tc>
        <w:tc>
          <w:tcPr>
            <w:gridSpan w:val="2"/>
          </w:tcPr>
          <w:p>
            <w:pPr>
              <w:pStyle w:val="4"/>
            </w:pPr>
          </w:p>
        </w:tc>
        <w:tc>
          <w:tcPr>
            <w:gridSpan w:val="2"/>
            <w:tcMar>
              <w:top w:w="0" w:type="dxa"/>
              <w:left w:w="0" w:type="dxa"/>
              <w:bottom w:w="0" w:type="dxa"/>
              <w:right w:w="0" w:type="dxa"/>
            </w:tcMar>
            <w:vAlign w:val="top"/>
          </w:tcPr>
          <w:p>
            <w:pPr>
              <w:jc w:val="center"/>
            </w:pPr>
            <w:r>
              <w:rPr>
                <w:rFonts w:ascii="宋体" w:hAnsi="宋体" w:eastAsia="宋体" w:cs="宋体"/>
                <w:b/>
                <w:color w:val="000000"/>
                <w:sz w:val="30"/>
              </w:rPr>
              <w:t>目  录</w:t>
            </w: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44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6840" w:hRule="atLeast"/>
        </w:trPr>
        <w:tc>
          <w:p>
            <w:pPr>
              <w:pStyle w:val="4"/>
            </w:pPr>
          </w:p>
        </w:tc>
        <w:tc>
          <w:tcPr>
            <w:gridSpan w:val="3"/>
          </w:tcPr>
          <w:p>
            <w:pPr>
              <w:pStyle w:val="4"/>
            </w:pPr>
          </w:p>
        </w:tc>
        <w:tc>
          <w:tcPr>
            <w:gridSpan w:val="10"/>
            <w:tcMar>
              <w:top w:w="0" w:type="dxa"/>
              <w:left w:w="0" w:type="dxa"/>
              <w:bottom w:w="0" w:type="dxa"/>
              <w:right w:w="0" w:type="dxa"/>
            </w:tcMar>
            <w:vAlign w:val="top"/>
          </w:tcPr>
          <w:p>
            <w:pPr>
              <w:spacing w:before="0" w:after="0" w:line="336" w:lineRule="auto"/>
              <w:jc w:val="left"/>
            </w:pPr>
            <w:r>
              <w:rPr>
                <w:rFonts w:ascii="宋体" w:hAnsi="宋体" w:eastAsia="宋体" w:cs="宋体"/>
                <w:color w:val="000000"/>
                <w:sz w:val="21"/>
              </w:rPr>
              <w:t>§ 一. 重要提示</w:t>
            </w:r>
            <w:r>
              <w:rPr>
                <w:rFonts w:ascii="宋体" w:hAnsi="宋体" w:eastAsia="宋体" w:cs="宋体"/>
                <w:color w:val="000000"/>
                <w:sz w:val="21"/>
              </w:rPr>
              <w:br w:type="textWrapping"/>
            </w:r>
            <w:r>
              <w:rPr>
                <w:rFonts w:ascii="宋体" w:hAnsi="宋体" w:eastAsia="宋体" w:cs="宋体"/>
                <w:color w:val="000000"/>
                <w:sz w:val="21"/>
              </w:rPr>
              <w:t>§ 二. 产品基本信息</w:t>
            </w:r>
            <w:r>
              <w:rPr>
                <w:rFonts w:ascii="宋体" w:hAnsi="宋体" w:eastAsia="宋体" w:cs="宋体"/>
                <w:color w:val="000000"/>
                <w:sz w:val="21"/>
              </w:rPr>
              <w:br w:type="textWrapping"/>
            </w:r>
            <w:r>
              <w:rPr>
                <w:rFonts w:ascii="宋体" w:hAnsi="宋体" w:eastAsia="宋体" w:cs="宋体"/>
                <w:color w:val="000000"/>
                <w:sz w:val="21"/>
              </w:rPr>
              <w:t>§ 三. 产品收益表现</w:t>
            </w:r>
            <w:r>
              <w:rPr>
                <w:rFonts w:ascii="宋体" w:hAnsi="宋体" w:eastAsia="宋体" w:cs="宋体"/>
                <w:color w:val="000000"/>
                <w:sz w:val="21"/>
              </w:rPr>
              <w:br w:type="textWrapping"/>
            </w:r>
            <w:r>
              <w:rPr>
                <w:rFonts w:ascii="宋体" w:hAnsi="宋体" w:eastAsia="宋体" w:cs="宋体"/>
                <w:color w:val="000000"/>
                <w:sz w:val="21"/>
              </w:rPr>
              <w:t>§ 四. 产品投资经理简介</w:t>
            </w:r>
            <w:r>
              <w:rPr>
                <w:rFonts w:ascii="宋体" w:hAnsi="宋体" w:eastAsia="宋体" w:cs="宋体"/>
                <w:color w:val="000000"/>
                <w:sz w:val="21"/>
              </w:rPr>
              <w:br w:type="textWrapping"/>
            </w:r>
            <w:r>
              <w:rPr>
                <w:rFonts w:ascii="宋体" w:hAnsi="宋体" w:eastAsia="宋体" w:cs="宋体"/>
                <w:color w:val="000000"/>
                <w:sz w:val="21"/>
              </w:rPr>
              <w:t>§ 五. 报告期内产品投资策略</w:t>
            </w:r>
            <w:r>
              <w:rPr>
                <w:rFonts w:ascii="宋体" w:hAnsi="宋体" w:eastAsia="宋体" w:cs="宋体"/>
                <w:color w:val="000000"/>
                <w:sz w:val="21"/>
              </w:rPr>
              <w:br w:type="textWrapping"/>
            </w:r>
            <w:r>
              <w:rPr>
                <w:rFonts w:ascii="宋体" w:hAnsi="宋体" w:eastAsia="宋体" w:cs="宋体"/>
                <w:color w:val="000000"/>
                <w:sz w:val="21"/>
              </w:rPr>
              <w:t>§ 六. 投资组合情况</w:t>
            </w:r>
            <w:r>
              <w:rPr>
                <w:rFonts w:ascii="宋体" w:hAnsi="宋体" w:eastAsia="宋体" w:cs="宋体"/>
                <w:color w:val="000000"/>
                <w:sz w:val="21"/>
              </w:rPr>
              <w:br w:type="textWrapping"/>
            </w:r>
            <w:r>
              <w:rPr>
                <w:rFonts w:ascii="宋体" w:hAnsi="宋体" w:eastAsia="宋体" w:cs="宋体"/>
                <w:color w:val="000000"/>
                <w:sz w:val="21"/>
              </w:rPr>
              <w:t xml:space="preserve">     1. 报告期末资产组合情况</w:t>
            </w:r>
            <w:r>
              <w:rPr>
                <w:rFonts w:ascii="宋体" w:hAnsi="宋体" w:eastAsia="宋体" w:cs="宋体"/>
                <w:color w:val="000000"/>
                <w:sz w:val="21"/>
              </w:rPr>
              <w:br w:type="textWrapping"/>
            </w:r>
            <w:r>
              <w:rPr>
                <w:rFonts w:ascii="宋体" w:hAnsi="宋体" w:eastAsia="宋体" w:cs="宋体"/>
                <w:color w:val="000000"/>
                <w:sz w:val="21"/>
              </w:rPr>
              <w:t xml:space="preserve">     2. 报告期末杠杆融资情况</w:t>
            </w:r>
            <w:r>
              <w:rPr>
                <w:rFonts w:ascii="宋体" w:hAnsi="宋体" w:eastAsia="宋体" w:cs="宋体"/>
                <w:color w:val="000000"/>
                <w:sz w:val="21"/>
              </w:rPr>
              <w:br w:type="textWrapping"/>
            </w:r>
            <w:r>
              <w:rPr>
                <w:rFonts w:ascii="宋体" w:hAnsi="宋体" w:eastAsia="宋体" w:cs="宋体"/>
                <w:color w:val="000000"/>
                <w:sz w:val="21"/>
              </w:rPr>
              <w:t xml:space="preserve">     3. 投资组合的流动性风险分析</w:t>
            </w:r>
            <w:r>
              <w:rPr>
                <w:rFonts w:ascii="宋体" w:hAnsi="宋体" w:eastAsia="宋体" w:cs="宋体"/>
                <w:color w:val="000000"/>
                <w:sz w:val="21"/>
              </w:rPr>
              <w:br w:type="textWrapping"/>
            </w:r>
            <w:r>
              <w:rPr>
                <w:rFonts w:ascii="宋体" w:hAnsi="宋体" w:eastAsia="宋体" w:cs="宋体"/>
                <w:color w:val="000000"/>
                <w:sz w:val="21"/>
              </w:rPr>
              <w:t xml:space="preserve">     4. 报告期末资产持仓前十基本信息</w:t>
            </w:r>
            <w:r>
              <w:rPr>
                <w:rFonts w:ascii="宋体" w:hAnsi="宋体" w:eastAsia="宋体" w:cs="宋体"/>
                <w:color w:val="000000"/>
                <w:sz w:val="21"/>
              </w:rPr>
              <w:br w:type="textWrapping"/>
            </w:r>
            <w:r>
              <w:rPr>
                <w:rFonts w:ascii="宋体" w:hAnsi="宋体" w:eastAsia="宋体" w:cs="宋体"/>
                <w:color w:val="000000"/>
                <w:sz w:val="21"/>
              </w:rPr>
              <w:t xml:space="preserve">     5. 报告期末持有非标准化债权类资产情况</w:t>
            </w:r>
            <w:r>
              <w:rPr>
                <w:rFonts w:ascii="宋体" w:hAnsi="宋体" w:eastAsia="宋体" w:cs="宋体"/>
                <w:color w:val="000000"/>
                <w:sz w:val="21"/>
              </w:rPr>
              <w:br w:type="textWrapping"/>
            </w:r>
            <w:r>
              <w:rPr>
                <w:rFonts w:ascii="宋体" w:hAnsi="宋体" w:eastAsia="宋体" w:cs="宋体"/>
                <w:color w:val="000000"/>
                <w:sz w:val="21"/>
              </w:rPr>
              <w:t xml:space="preserve">     6. 报告期间关联交易情况</w:t>
            </w:r>
            <w:r>
              <w:rPr>
                <w:rFonts w:ascii="宋体" w:hAnsi="宋体" w:eastAsia="宋体" w:cs="宋体"/>
                <w:color w:val="000000"/>
                <w:sz w:val="21"/>
              </w:rPr>
              <w:br w:type="textWrapping"/>
            </w:r>
            <w:r>
              <w:rPr>
                <w:rFonts w:ascii="宋体" w:hAnsi="宋体" w:eastAsia="宋体" w:cs="宋体"/>
                <w:color w:val="000000"/>
                <w:sz w:val="21"/>
              </w:rPr>
              <w:t xml:space="preserve">     7. 投资账户信息</w:t>
            </w:r>
          </w:p>
        </w:tc>
        <w:tc>
          <w:p>
            <w:pPr>
              <w:pStyle w:val="4"/>
            </w:pPr>
          </w:p>
        </w:tc>
        <w:tc>
          <w:p>
            <w:pPr>
              <w:pStyle w:val="4"/>
            </w:pPr>
          </w:p>
        </w:tc>
      </w:tr>
      <w:tr>
        <w:tblPrEx>
          <w:tblCellMar>
            <w:top w:w="0" w:type="dxa"/>
            <w:left w:w="10" w:type="dxa"/>
            <w:bottom w:w="0" w:type="dxa"/>
            <w:right w:w="10" w:type="dxa"/>
          </w:tblCellMar>
        </w:tblPrEx>
        <w:trPr>
          <w:gridAfter w:val="4"/>
          <w:trHeight w:val="608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3"/>
          </w:tcPr>
          <w:p>
            <w:pPr>
              <w:pStyle w:val="4"/>
            </w:pPr>
          </w:p>
        </w:tc>
        <w:tc>
          <w:tcPr>
            <w:gridSpan w:val="3"/>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2/</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7</w:t>
            </w: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2"/>
          <w:trHeight w:val="0" w:hRule="atLeast"/>
        </w:trPr>
        <w:tc>
          <w:p>
            <w:pPr>
              <w:pStyle w:val="4"/>
              <w:pageBreakBefore/>
            </w:pPr>
            <w:bookmarkStart w:id="2" w:name="JR_PAGE_ANCHOR_0_3"/>
            <w:bookmarkEnd w:id="2"/>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兴银理财稳利丰收封闭式51号固收类理财产品2024年第二季度报告</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6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一. 重要提示</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3080" w:hRule="atLeast"/>
        </w:trPr>
        <w:tc>
          <w:p>
            <w:pPr>
              <w:pStyle w:val="4"/>
            </w:pPr>
          </w:p>
        </w:tc>
        <w:tc>
          <w:tcPr>
            <w:gridSpan w:val="14"/>
            <w:tcBorders>
              <w:top w:val="dotted" w:color="000000" w:sz="8" w:space="0"/>
              <w:left w:val="dotted" w:color="000000" w:sz="8" w:space="0"/>
              <w:bottom w:val="dotted" w:color="000000" w:sz="8" w:space="0"/>
              <w:right w:val="dotted" w:color="000000" w:sz="8" w:space="0"/>
            </w:tcBorders>
            <w:tcMar>
              <w:top w:w="0" w:type="dxa"/>
              <w:left w:w="0" w:type="dxa"/>
              <w:bottom w:w="0" w:type="dxa"/>
              <w:right w:w="0" w:type="dxa"/>
            </w:tcMar>
            <w:vAlign w:val="top"/>
          </w:tcPr>
          <w:p>
            <w:pPr>
              <w:spacing w:before="0" w:after="0" w:line="360" w:lineRule="auto"/>
              <w:jc w:val="left"/>
            </w:pPr>
            <w:r>
              <w:rPr>
                <w:rFonts w:ascii="仿宋" w:hAnsi="仿宋" w:eastAsia="仿宋" w:cs="仿宋"/>
                <w:color w:val="000000"/>
                <w:sz w:val="21"/>
              </w:rPr>
              <w:br w:type="textWrapping"/>
            </w:r>
            <w:r>
              <w:rPr>
                <w:rFonts w:ascii="仿宋" w:hAnsi="仿宋" w:eastAsia="仿宋" w:cs="仿宋"/>
                <w:color w:val="000000"/>
                <w:sz w:val="21"/>
              </w:rPr>
              <w:t xml:space="preserve"> 1. 温馨提醒：理财非存款，产品有风险，投资需谨慎！</w:t>
            </w:r>
            <w:r>
              <w:rPr>
                <w:rFonts w:ascii="仿宋" w:hAnsi="仿宋" w:eastAsia="仿宋" w:cs="仿宋"/>
                <w:color w:val="000000"/>
                <w:sz w:val="21"/>
              </w:rPr>
              <w:br w:type="textWrapping"/>
            </w:r>
            <w:r>
              <w:rPr>
                <w:rFonts w:ascii="仿宋" w:hAnsi="仿宋" w:eastAsia="仿宋" w:cs="仿宋"/>
                <w:color w:val="000000"/>
                <w:sz w:val="21"/>
              </w:rPr>
              <w:t xml:space="preserve"> 2. 理财信息可供参考，详情请咨询理财经理，或在“中国理财网（www.chinawealth.com.cn）”查询该产品相关信息。</w:t>
            </w:r>
            <w:r>
              <w:rPr>
                <w:rFonts w:ascii="仿宋" w:hAnsi="仿宋" w:eastAsia="仿宋" w:cs="仿宋"/>
                <w:color w:val="000000"/>
                <w:sz w:val="21"/>
              </w:rPr>
              <w:br w:type="textWrapping"/>
            </w:r>
            <w:r>
              <w:rPr>
                <w:rFonts w:ascii="仿宋" w:hAnsi="仿宋" w:eastAsia="仿宋" w:cs="仿宋"/>
                <w:color w:val="000000"/>
                <w:sz w:val="21"/>
              </w:rPr>
              <w:t xml:space="preserve"> 3. 兴银理财有限责任公司保留对所有文字说明的最终解释权。</w:t>
            </w:r>
            <w:r>
              <w:rPr>
                <w:rFonts w:ascii="仿宋" w:hAnsi="仿宋" w:eastAsia="仿宋" w:cs="仿宋"/>
                <w:color w:val="000000"/>
                <w:sz w:val="21"/>
              </w:rPr>
              <w:br w:type="textWrapping"/>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6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二. 产品基本情况</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产品名称</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before="0" w:after="0" w:line="240" w:lineRule="auto"/>
              <w:ind w:firstLine="200"/>
            </w:pPr>
            <w:r>
              <w:rPr>
                <w:rFonts w:ascii="宋体" w:hAnsi="宋体" w:eastAsia="宋体" w:cs="宋体"/>
                <w:color w:val="000000"/>
                <w:sz w:val="21"/>
              </w:rPr>
              <w:t>兴银理财稳利丰收封闭式51号固收类理财产品</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产品代码</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9C310510</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全国银行业理财信息登记系统登记编码</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Z7002023001076</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产品运作方式</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封闭式</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产品募集方式</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公募</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投资类型</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固定收益类</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报告期末产品份额总额</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83,993,828份</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投资币种</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人民币</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风险等级</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jc w:val="left"/>
            </w:pPr>
            <w:r>
              <w:rPr>
                <w:rFonts w:ascii="宋体" w:hAnsi="宋体" w:eastAsia="宋体" w:cs="宋体"/>
                <w:color w:val="000000"/>
                <w:sz w:val="21"/>
              </w:rPr>
              <w:t>R2</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产品管理人</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兴银理财有限责任公司</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产品托管人</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before="0" w:after="0" w:line="240" w:lineRule="auto"/>
              <w:ind w:firstLine="200"/>
            </w:pPr>
            <w:r>
              <w:rPr>
                <w:rFonts w:ascii="宋体" w:hAnsi="宋体" w:eastAsia="宋体" w:cs="宋体"/>
                <w:color w:val="000000"/>
                <w:sz w:val="21"/>
              </w:rPr>
              <w:t>兴业银行股份有限公司</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4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1200" w:hRule="exact"/>
        </w:trPr>
        <w:tc>
          <w:p>
            <w:pPr>
              <w:pStyle w:val="4"/>
            </w:pPr>
          </w:p>
        </w:tc>
        <w:tc>
          <w:p>
            <w:pPr>
              <w:pStyle w:val="4"/>
            </w:pPr>
          </w:p>
        </w:tc>
        <w:tc>
          <w:tcPr>
            <w:gridSpan w:val="15"/>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gridCol w:w="3600"/>
              <w:gridCol w:w="4100"/>
            </w:tblGrid>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2980"/>
                    <w:gridCol w:w="2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ind w:firstLine="0"/>
                          <w:jc w:val="center"/>
                        </w:pPr>
                        <w:r>
                          <w:rPr>
                            <w:rFonts w:ascii="宋体" w:hAnsi="宋体" w:eastAsia="宋体" w:cs="宋体"/>
                            <w:color w:val="000000"/>
                            <w:sz w:val="21"/>
                          </w:rPr>
                          <w:t>下属子份额的销售名称</w:t>
                        </w:r>
                      </w:p>
                    </w:tc>
                    <w:tc>
                      <w:p>
                        <w:pPr>
                          <w:pStyle w:val="4"/>
                        </w:pPr>
                      </w:p>
                    </w:tc>
                  </w:tr>
                </w:tbl>
                <w:p>
                  <w:pPr>
                    <w:pStyle w:val="4"/>
                  </w:pPr>
                </w:p>
              </w:tc>
              <w:tc>
                <w:tcPr>
                  <w:tcBorders>
                    <w:top w:val="single" w:color="000000" w:sz="2" w:space="0"/>
                    <w:left w:val="single" w:color="000000" w:sz="2" w:space="0"/>
                    <w:bottom w:val="single" w:color="000000" w:sz="2" w:space="0"/>
                    <w:right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ind w:firstLine="200"/>
                          <w:jc w:val="center"/>
                        </w:pPr>
                        <w:r>
                          <w:rPr>
                            <w:rFonts w:ascii="宋体" w:hAnsi="宋体" w:eastAsia="宋体" w:cs="宋体"/>
                            <w:color w:val="000000"/>
                            <w:sz w:val="21"/>
                          </w:rPr>
                          <w:t>下属子份额的销售代码</w:t>
                        </w:r>
                      </w:p>
                    </w:tc>
                  </w:tr>
                </w:tbl>
                <w:p>
                  <w:pPr>
                    <w:pStyle w:val="4"/>
                  </w:pPr>
                </w:p>
              </w:tc>
              <w:tc>
                <w:tcPr>
                  <w:tcBorders>
                    <w:top w:val="single" w:color="000000" w:sz="2" w:space="0"/>
                    <w:left w:val="single" w:color="000000" w:sz="2" w:space="0"/>
                    <w:bottom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80" w:hRule="atLeast"/>
                    </w:trPr>
                    <w:tc>
                      <w:tcPr>
                        <w:tcMar>
                          <w:top w:w="0" w:type="dxa"/>
                          <w:left w:w="0" w:type="dxa"/>
                          <w:bottom w:w="0" w:type="dxa"/>
                          <w:right w:w="20" w:type="dxa"/>
                        </w:tcMar>
                        <w:vAlign w:val="center"/>
                      </w:tcPr>
                      <w:p>
                        <w:pPr>
                          <w:ind w:firstLine="200"/>
                          <w:jc w:val="center"/>
                        </w:pPr>
                        <w:r>
                          <w:rPr>
                            <w:rFonts w:ascii="宋体" w:hAnsi="宋体" w:eastAsia="宋体" w:cs="宋体"/>
                            <w:color w:val="000000"/>
                            <w:sz w:val="21"/>
                          </w:rPr>
                          <w:t>报告期末下属子份额的产品份额总数</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稳利丰收封闭式51号A</w:t>
                        </w:r>
                      </w:p>
                    </w:tc>
                  </w:tr>
                </w:tbl>
                <w:p>
                  <w:pPr>
                    <w:pStyle w:val="4"/>
                  </w:pPr>
                </w:p>
              </w:tc>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9C31051A</w:t>
                        </w:r>
                      </w:p>
                    </w:tc>
                  </w:tr>
                </w:tbl>
                <w:p>
                  <w:pPr>
                    <w:pStyle w:val="4"/>
                  </w:pPr>
                </w:p>
              </w:tc>
              <w:tc>
                <w:tcPr>
                  <w:tcBorders>
                    <w:top w:val="single" w:color="000000" w:sz="2" w:space="0"/>
                    <w:left w:val="single" w:color="000000" w:sz="2" w:space="0"/>
                    <w:bottom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83,993,828.00</w:t>
                        </w:r>
                      </w:p>
                    </w:tc>
                  </w:tr>
                </w:tbl>
                <w:p>
                  <w:pPr>
                    <w:pStyle w:val="4"/>
                  </w:pPr>
                </w:p>
              </w:tc>
            </w:tr>
          </w:tbl>
          <w:p>
            <w:pPr>
              <w:pStyle w:val="4"/>
            </w:pPr>
          </w:p>
        </w:tc>
        <w:tc>
          <w:p>
            <w:pPr>
              <w:pStyle w:val="4"/>
            </w:pPr>
          </w:p>
        </w:tc>
      </w:tr>
      <w:tr>
        <w:tblPrEx>
          <w:tblCellMar>
            <w:top w:w="0" w:type="dxa"/>
            <w:left w:w="10" w:type="dxa"/>
            <w:bottom w:w="0" w:type="dxa"/>
            <w:right w:w="10" w:type="dxa"/>
          </w:tblCellMar>
        </w:tblPrEx>
        <w:trPr>
          <w:gridAfter w:val="2"/>
          <w:trHeight w:val="600" w:hRule="atLeast"/>
        </w:trPr>
        <w:tc>
          <w:p>
            <w:pPr>
              <w:pStyle w:val="4"/>
            </w:pPr>
          </w:p>
        </w:tc>
        <w:tc>
          <w:p>
            <w:pPr>
              <w:pStyle w:val="4"/>
            </w:pPr>
          </w:p>
        </w:tc>
        <w:tc>
          <w:tcPr>
            <w:gridSpan w:val="15"/>
            <w:tcMar>
              <w:top w:w="0" w:type="dxa"/>
              <w:left w:w="0" w:type="dxa"/>
              <w:bottom w:w="0" w:type="dxa"/>
              <w:right w:w="0" w:type="dxa"/>
            </w:tcMar>
            <w:vAlign w:val="top"/>
          </w:tcPr>
          <w:p>
            <w:r>
              <w:rPr>
                <w:rFonts w:ascii="宋体" w:hAnsi="宋体" w:eastAsia="宋体" w:cs="宋体"/>
                <w:color w:val="000000"/>
                <w:sz w:val="16"/>
              </w:rPr>
              <w:t>注:本产品的业绩比较基准或业绩报酬计提基准等类似表述不是预期收益率，不代表产品的未来表现和实际收益，不构成对产品收益的承诺，仅供投资者进行投资决定时参考。</w:t>
            </w:r>
          </w:p>
        </w:tc>
        <w:tc>
          <w:p>
            <w:pPr>
              <w:pStyle w:val="4"/>
            </w:pPr>
          </w:p>
        </w:tc>
      </w:tr>
      <w:tr>
        <w:tblPrEx>
          <w:tblCellMar>
            <w:top w:w="0" w:type="dxa"/>
            <w:left w:w="10" w:type="dxa"/>
            <w:bottom w:w="0" w:type="dxa"/>
            <w:right w:w="10" w:type="dxa"/>
          </w:tblCellMar>
        </w:tblPrEx>
        <w:trPr>
          <w:gridAfter w:val="2"/>
          <w:trHeight w:val="122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400" w:hRule="atLeast"/>
        </w:trPr>
        <w:tc>
          <w:p>
            <w:pPr>
              <w:pStyle w:val="4"/>
            </w:pPr>
          </w:p>
        </w:tc>
        <w:tc>
          <w:p>
            <w:pPr>
              <w:pStyle w:val="4"/>
            </w:pPr>
          </w:p>
        </w:tc>
        <w:tc>
          <w:tcPr>
            <w:gridSpan w:val="5"/>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3/</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7</w:t>
            </w: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3" w:name="JR_PAGE_ANCHOR_0_4"/>
            <w:bookmarkEnd w:id="3"/>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兴银理财稳利丰收封闭式51号固收类理财产品2024年第二季度报告</w:t>
            </w: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三. 产品收益表现</w:t>
            </w: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16"/>
            <w:tcMar>
              <w:top w:w="0" w:type="dxa"/>
              <w:left w:w="0" w:type="dxa"/>
              <w:bottom w:w="0" w:type="dxa"/>
              <w:right w:w="0" w:type="dxa"/>
            </w:tcMar>
            <w:vAlign w:val="top"/>
          </w:tcPr>
          <w:p>
            <w:r>
              <w:rPr>
                <w:rFonts w:ascii="宋体" w:hAnsi="宋体" w:eastAsia="宋体" w:cs="宋体"/>
                <w:color w:val="000000"/>
                <w:sz w:val="21"/>
              </w:rPr>
              <w:t>报告期末，产品过往业绩如下：</w:t>
            </w:r>
          </w:p>
        </w:tc>
        <w:tc>
          <w:p>
            <w:pPr>
              <w:pStyle w:val="4"/>
            </w:pPr>
          </w:p>
        </w:tc>
      </w:tr>
      <w:tr>
        <w:tblPrEx>
          <w:tblCellMar>
            <w:top w:w="0" w:type="dxa"/>
            <w:left w:w="10" w:type="dxa"/>
            <w:bottom w:w="0" w:type="dxa"/>
            <w:right w:w="10" w:type="dxa"/>
          </w:tblCellMar>
        </w:tblPrEx>
        <w:trPr>
          <w:trHeight w:val="1200" w:hRule="exact"/>
        </w:trPr>
        <w:tc>
          <w:p>
            <w:pPr>
              <w:pStyle w:val="4"/>
            </w:pPr>
          </w:p>
        </w:tc>
        <w:tc>
          <w:tcPr>
            <w:gridSpan w:val="2"/>
          </w:tcPr>
          <w:p>
            <w:pPr>
              <w:pStyle w:val="4"/>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gridCol w:w="2100"/>
              <w:gridCol w:w="2200"/>
              <w:gridCol w:w="2200"/>
              <w:gridCol w:w="22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rPr>
                      <w:trHeight w:val="600" w:hRule="atLeast"/>
                    </w:trPr>
                    <w:tc>
                      <w:tcPr>
                        <w:tcMar>
                          <w:top w:w="0" w:type="dxa"/>
                          <w:left w:w="0" w:type="dxa"/>
                          <w:bottom w:w="0" w:type="dxa"/>
                          <w:right w:w="0" w:type="dxa"/>
                        </w:tcMar>
                        <w:vAlign w:val="center"/>
                      </w:tcPr>
                      <w:p>
                        <w:pPr>
                          <w:jc w:val="center"/>
                        </w:pPr>
                        <w:bookmarkStart w:id="7" w:name="_GoBack" w:colFirst="0" w:colLast="4"/>
                        <w:r>
                          <w:rPr>
                            <w:rFonts w:ascii="宋体" w:hAnsi="宋体" w:eastAsia="宋体" w:cs="宋体"/>
                            <w:b/>
                            <w:color w:val="000000"/>
                            <w:sz w:val="21"/>
                          </w:rPr>
                          <w:t>产品销售代码</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近1月</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近3月</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近6月</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成立至今</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jc w:val="center"/>
                  </w:pPr>
                </w:p>
              </w:tc>
            </w:tr>
            <w:tr>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9C31051A</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5.93</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6.03</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6.83</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6.72</w:t>
                        </w:r>
                      </w:p>
                    </w:tc>
                  </w:tr>
                </w:tbl>
                <w:p>
                  <w:pPr>
                    <w:pStyle w:val="4"/>
                    <w:jc w:val="center"/>
                  </w:pPr>
                </w:p>
              </w:tc>
            </w:tr>
            <w:bookmarkEnd w:id="7"/>
          </w:tbl>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2"/>
          </w:tcPr>
          <w:p>
            <w:pPr>
              <w:pStyle w:val="4"/>
            </w:pPr>
          </w:p>
        </w:tc>
        <w:tc>
          <w:tcPr>
            <w:gridSpan w:val="16"/>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pPr>
              <w:spacing w:before="0" w:after="0" w:line="320" w:lineRule="exact"/>
              <w:ind w:left="40" w:right="40"/>
              <w:jc w:val="left"/>
            </w:pPr>
            <w:r>
              <w:rPr>
                <w:rFonts w:ascii="宋体" w:hAnsi="宋体" w:eastAsia="宋体" w:cs="宋体"/>
                <w:color w:val="000000"/>
                <w:sz w:val="21"/>
              </w:rPr>
              <w:t>业绩比较基准（9C31051A）：3.40%--4.20%</w:t>
            </w:r>
          </w:p>
        </w:tc>
        <w:tc>
          <w:p>
            <w:pPr>
              <w:pStyle w:val="4"/>
            </w:pPr>
          </w:p>
        </w:tc>
      </w:tr>
      <w:tr>
        <w:tblPrEx>
          <w:tblCellMar>
            <w:top w:w="0" w:type="dxa"/>
            <w:left w:w="10" w:type="dxa"/>
            <w:bottom w:w="0" w:type="dxa"/>
            <w:right w:w="10" w:type="dxa"/>
          </w:tblCellMar>
        </w:tblPrEx>
        <w:trPr>
          <w:trHeight w:val="20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820" w:hRule="atLeast"/>
        </w:trPr>
        <w:tc>
          <w:p>
            <w:pPr>
              <w:pStyle w:val="4"/>
            </w:pPr>
          </w:p>
        </w:tc>
        <w:tc>
          <w:tcPr>
            <w:gridSpan w:val="2"/>
          </w:tcPr>
          <w:p>
            <w:pPr>
              <w:pStyle w:val="4"/>
            </w:pPr>
          </w:p>
        </w:tc>
        <w:tc>
          <w:tcPr>
            <w:gridSpan w:val="16"/>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pPr>
              <w:ind w:left="40" w:right="40"/>
              <w:jc w:val="left"/>
            </w:pPr>
            <w:r>
              <w:rPr>
                <w:rFonts w:ascii="宋体" w:hAnsi="宋体" w:eastAsia="宋体" w:cs="宋体"/>
                <w:color w:val="000000"/>
                <w:sz w:val="18"/>
              </w:rPr>
              <w:t>提示：</w:t>
            </w:r>
            <w:r>
              <w:rPr>
                <w:rFonts w:ascii="宋体" w:hAnsi="宋体" w:eastAsia="宋体" w:cs="宋体"/>
                <w:color w:val="000000"/>
                <w:sz w:val="18"/>
              </w:rPr>
              <w:br w:type="textWrapping"/>
            </w:r>
            <w:r>
              <w:rPr>
                <w:rFonts w:ascii="宋体" w:hAnsi="宋体" w:eastAsia="宋体" w:cs="宋体"/>
                <w:color w:val="000000"/>
                <w:sz w:val="18"/>
              </w:rPr>
              <w:t>（1）产品展示的业绩比较基准为报告期末理财产品所在最新投资周期的业绩比较基准。</w:t>
            </w:r>
            <w:r>
              <w:rPr>
                <w:rFonts w:ascii="宋体" w:hAnsi="宋体" w:eastAsia="宋体" w:cs="宋体"/>
                <w:color w:val="000000"/>
                <w:sz w:val="18"/>
              </w:rPr>
              <w:br w:type="textWrapping"/>
            </w:r>
            <w:r>
              <w:rPr>
                <w:rFonts w:ascii="宋体" w:hAnsi="宋体" w:eastAsia="宋体" w:cs="宋体"/>
                <w:color w:val="000000"/>
                <w:sz w:val="18"/>
              </w:rPr>
              <w:t>（2）兴银理财稳利丰收封闭式51号固收类理财产品成立于2023年11月28日，数据截止至2024年06月30日。过往业绩是由兴银理财有限责任公司计算并确认后所提供的数据。</w:t>
            </w:r>
            <w:r>
              <w:rPr>
                <w:rFonts w:ascii="宋体" w:hAnsi="宋体" w:eastAsia="宋体" w:cs="宋体"/>
                <w:color w:val="000000"/>
                <w:sz w:val="18"/>
              </w:rPr>
              <w:br w:type="textWrapping"/>
            </w:r>
            <w:r>
              <w:rPr>
                <w:rFonts w:ascii="宋体" w:hAnsi="宋体" w:eastAsia="宋体" w:cs="宋体"/>
                <w:color w:val="000000"/>
                <w:sz w:val="18"/>
              </w:rPr>
              <w:t>（3）近N月年化收益率（%）=（1+（当前复权单位净值/N月前复权单位净值-1）*100%）^（365/区间天数）-1。区间天数为产品前N月（或首个披露的有效净值日期，不含该日）至报告期末有效净值日期（含该日）累计运作天数。展示区间起始时间为近N月的有效净值日期，截止时间为本报告期期末。</w:t>
            </w:r>
            <w:r>
              <w:rPr>
                <w:rFonts w:ascii="宋体" w:hAnsi="宋体" w:eastAsia="宋体" w:cs="宋体"/>
                <w:color w:val="000000"/>
                <w:sz w:val="18"/>
              </w:rPr>
              <w:br w:type="textWrapping"/>
            </w:r>
            <w:r>
              <w:rPr>
                <w:rFonts w:ascii="宋体" w:hAnsi="宋体" w:eastAsia="宋体" w:cs="宋体"/>
                <w:color w:val="000000"/>
                <w:sz w:val="18"/>
              </w:rPr>
              <w:t xml:space="preserve">    X年年化收益率（%）=（1+（X年最后一个有效复权单位净值/X-1年最后一个有效复权单位净值-1）*100%）^（365/区间天数）-1。区间天数为该完整会计年度的天数。</w:t>
            </w:r>
            <w:r>
              <w:rPr>
                <w:rFonts w:ascii="宋体" w:hAnsi="宋体" w:eastAsia="宋体" w:cs="宋体"/>
                <w:color w:val="000000"/>
                <w:sz w:val="18"/>
              </w:rPr>
              <w:br w:type="textWrapping"/>
            </w:r>
            <w:r>
              <w:rPr>
                <w:rFonts w:ascii="宋体" w:hAnsi="宋体" w:eastAsia="宋体" w:cs="宋体"/>
                <w:color w:val="000000"/>
                <w:sz w:val="18"/>
              </w:rPr>
              <w:t xml:space="preserve">    成立至今年化收益率（%）=（1+（当前市值/成立日市值-1）*100%）^（365/区间天数）-1。区间天数为产品成立日期（或首个披露净值日期，不含该日）至报告期末净值日期（含该日）累计运作天数。</w:t>
            </w:r>
            <w:r>
              <w:rPr>
                <w:rFonts w:ascii="宋体" w:hAnsi="宋体" w:eastAsia="宋体" w:cs="宋体"/>
                <w:color w:val="000000"/>
                <w:sz w:val="18"/>
              </w:rPr>
              <w:br w:type="textWrapping"/>
            </w:r>
            <w:r>
              <w:rPr>
                <w:rFonts w:ascii="宋体" w:hAnsi="宋体" w:eastAsia="宋体" w:cs="宋体"/>
                <w:color w:val="000000"/>
                <w:sz w:val="18"/>
              </w:rPr>
              <w:t xml:space="preserve">    复权单位净值体现单位净值序列及累计净值序列的波动和分红等情况。</w:t>
            </w:r>
            <w:r>
              <w:rPr>
                <w:rFonts w:ascii="宋体" w:hAnsi="宋体" w:eastAsia="宋体" w:cs="宋体"/>
                <w:color w:val="000000"/>
                <w:sz w:val="18"/>
              </w:rPr>
              <w:br w:type="textWrapping"/>
            </w:r>
            <w:r>
              <w:rPr>
                <w:rFonts w:ascii="宋体" w:hAnsi="宋体" w:eastAsia="宋体" w:cs="宋体"/>
                <w:color w:val="000000"/>
                <w:sz w:val="18"/>
              </w:rPr>
              <w:t>（4）理财产品过往业绩不代表其未来表现，不等于理财产品实际收益，投资须谨慎。</w:t>
            </w: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16"/>
            <w:tcMar>
              <w:top w:w="0" w:type="dxa"/>
              <w:left w:w="0" w:type="dxa"/>
              <w:bottom w:w="0" w:type="dxa"/>
              <w:right w:w="0" w:type="dxa"/>
            </w:tcMar>
            <w:vAlign w:val="top"/>
          </w:tcPr>
          <w:p>
            <w:r>
              <w:rPr>
                <w:rFonts w:ascii="宋体" w:hAnsi="宋体" w:eastAsia="宋体" w:cs="宋体"/>
                <w:color w:val="000000"/>
                <w:sz w:val="21"/>
              </w:rPr>
              <w:t>报告期末，产品净值表现具体如下：</w:t>
            </w:r>
          </w:p>
        </w:tc>
        <w:tc>
          <w:p>
            <w:pPr>
              <w:pStyle w:val="4"/>
            </w:pPr>
          </w:p>
        </w:tc>
      </w:tr>
      <w:tr>
        <w:tblPrEx>
          <w:tblCellMar>
            <w:top w:w="0" w:type="dxa"/>
            <w:left w:w="10" w:type="dxa"/>
            <w:bottom w:w="0" w:type="dxa"/>
            <w:right w:w="10" w:type="dxa"/>
          </w:tblCellMar>
        </w:tblPrEx>
        <w:trPr>
          <w:trHeight w:val="1200" w:hRule="exact"/>
        </w:trPr>
        <w:tc>
          <w:p>
            <w:pPr>
              <w:pStyle w:val="4"/>
            </w:pPr>
          </w:p>
        </w:tc>
        <w:tc>
          <w:tcPr>
            <w:gridSpan w:val="2"/>
          </w:tcPr>
          <w:p>
            <w:pPr>
              <w:pStyle w:val="4"/>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gridCol w:w="2000"/>
              <w:gridCol w:w="2400"/>
              <w:gridCol w:w="2200"/>
              <w:gridCol w:w="23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产品代码</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估值日期</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产品份额净值</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产品累计净值</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产品资产净值</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9C310510</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2024年6月30日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1.03908</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1.03908</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87,275,965.50</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1200" w:hRule="exact"/>
        </w:trPr>
        <w:tc>
          <w:p>
            <w:pPr>
              <w:pStyle w:val="4"/>
            </w:pPr>
          </w:p>
        </w:tc>
        <w:tc>
          <w:tcPr>
            <w:gridSpan w:val="2"/>
          </w:tcPr>
          <w:p>
            <w:pPr>
              <w:pStyle w:val="4"/>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gridCol w:w="2000"/>
              <w:gridCol w:w="2400"/>
              <w:gridCol w:w="2200"/>
              <w:gridCol w:w="23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销售代码</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估值日期</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产品份额净值</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产品累计净值</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产品资产净值</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9C31051A</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2024年6月30日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1.03908</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1.03908</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87,275,965.50</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56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四. 产品投资经理简介</w:t>
            </w:r>
          </w:p>
        </w:tc>
        <w:tc>
          <w:tcPr>
            <w:gridSpan w:val="4"/>
          </w:tcPr>
          <w:p>
            <w:pPr>
              <w:pStyle w:val="4"/>
            </w:pPr>
          </w:p>
        </w:tc>
        <w:tc>
          <w:p>
            <w:pPr>
              <w:pStyle w:val="4"/>
            </w:pPr>
          </w:p>
        </w:tc>
      </w:tr>
      <w:tr>
        <w:tblPrEx>
          <w:tblCellMar>
            <w:top w:w="0" w:type="dxa"/>
            <w:left w:w="10" w:type="dxa"/>
            <w:bottom w:w="0" w:type="dxa"/>
            <w:right w:w="10" w:type="dxa"/>
          </w:tblCellMar>
        </w:tblPrEx>
        <w:trPr>
          <w:trHeight w:val="42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1240" w:hRule="atLeast"/>
        </w:trPr>
        <w:tc>
          <w:p>
            <w:pPr>
              <w:pStyle w:val="4"/>
            </w:pPr>
          </w:p>
        </w:tc>
        <w:tc>
          <w:tcPr>
            <w:gridSpan w:val="14"/>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 xml:space="preserve">    邓铮先生，厦门大学学士，英国赫尔大学金融管理硕士，拥有11年金融从业经验，现任兴银理财专户投资部投资经理。2019年加入兴业银行资产管理事业部，历任兴业银行资产管理事业部权益投资部、兴银理财股票与量化投资部投资经理。目前管理日盈、季盈开放式产品和各期限定开专户固收产品。深耕大类资产配置，擅长各类资产的价值挖掘，具有丰富的固收+投资经验，投资风格稳健，累计管理规模超过300亿。</w:t>
            </w:r>
          </w:p>
        </w:tc>
        <w:tc>
          <w:tcPr>
            <w:gridSpan w:val="4"/>
          </w:tcPr>
          <w:p>
            <w:pPr>
              <w:pStyle w:val="4"/>
            </w:pPr>
          </w:p>
        </w:tc>
        <w:tc>
          <w:p>
            <w:pPr>
              <w:pStyle w:val="4"/>
            </w:pPr>
          </w:p>
        </w:tc>
      </w:tr>
      <w:tr>
        <w:tblPrEx>
          <w:tblCellMar>
            <w:top w:w="0" w:type="dxa"/>
            <w:left w:w="10" w:type="dxa"/>
            <w:bottom w:w="0" w:type="dxa"/>
            <w:right w:w="10" w:type="dxa"/>
          </w:tblCellMar>
        </w:tblPrEx>
        <w:trPr>
          <w:trHeight w:val="1728"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4"/>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4/</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7</w:t>
            </w: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gridAfter w:val="2"/>
          <w:trHeight w:val="0" w:hRule="atLeast"/>
        </w:trPr>
        <w:tc>
          <w:p>
            <w:pPr>
              <w:pStyle w:val="4"/>
              <w:pageBreakBefore/>
            </w:pPr>
            <w:bookmarkStart w:id="4" w:name="JR_PAGE_ANCHOR_0_5"/>
            <w:bookmarkEnd w:id="4"/>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兴银理财稳利丰收封闭式51号固收类理财产品2024年第二季度报告</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五. 报告期内产品的投资策略和运作分析</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42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8940" w:hRule="atLeast"/>
        </w:trPr>
        <w:tc>
          <w:p>
            <w:pPr>
              <w:pStyle w:val="4"/>
            </w:pPr>
          </w:p>
        </w:tc>
        <w:tc>
          <w:tcPr>
            <w:gridSpan w:val="14"/>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一、2024年二季度市场回顾与产品投资策略</w:t>
            </w:r>
            <w:r>
              <w:rPr>
                <w:rFonts w:ascii="宋体" w:hAnsi="宋体" w:eastAsia="宋体" w:cs="宋体"/>
                <w:color w:val="000000"/>
                <w:sz w:val="21"/>
              </w:rPr>
              <w:br w:type="textWrapping"/>
            </w:r>
            <w:r>
              <w:rPr>
                <w:rFonts w:ascii="宋体" w:hAnsi="宋体" w:eastAsia="宋体" w:cs="宋体"/>
                <w:color w:val="000000"/>
                <w:sz w:val="21"/>
              </w:rPr>
              <w:t>1、市场回顾</w:t>
            </w:r>
            <w:r>
              <w:rPr>
                <w:rFonts w:ascii="宋体" w:hAnsi="宋体" w:eastAsia="宋体" w:cs="宋体"/>
                <w:color w:val="000000"/>
                <w:sz w:val="21"/>
              </w:rPr>
              <w:br w:type="textWrapping"/>
            </w:r>
            <w:r>
              <w:rPr>
                <w:rFonts w:ascii="宋体" w:hAnsi="宋体" w:eastAsia="宋体" w:cs="宋体"/>
                <w:color w:val="000000"/>
                <w:sz w:val="21"/>
              </w:rPr>
              <w:t xml:space="preserve">    2024年二季度以来，债券收益率延续一季度下行趋势。10年国债收益率下行约10bp至2.20%附近位置，30年国债收益率震荡中下行约3bp至2.43%附近。1年国股NCD二季度收益率下行约25bp至1.95%附近，2-3年AA+信用债收益率整体下行40bp左右至2.17%-2.24%，4-5年国股二级收益率下行40bp至2.20%附近，国股永续下行40bp至2.23%-2.30%。</w:t>
            </w:r>
            <w:r>
              <w:rPr>
                <w:rFonts w:ascii="宋体" w:hAnsi="宋体" w:eastAsia="宋体" w:cs="宋体"/>
                <w:color w:val="000000"/>
                <w:sz w:val="21"/>
              </w:rPr>
              <w:br w:type="textWrapping"/>
            </w:r>
            <w:r>
              <w:rPr>
                <w:rFonts w:ascii="宋体" w:hAnsi="宋体" w:eastAsia="宋体" w:cs="宋体"/>
                <w:color w:val="000000"/>
                <w:sz w:val="21"/>
              </w:rPr>
              <w:t xml:space="preserve">    回顾二季度，资产荒行情、资金面宽松、基本面偏弱等因素推动债券收益率在震荡中延续下行。宏观基本面方面，出口回暖和刺激政策带动工业生产和制造业投资，但内需持续低迷；地产以价换量现状未改，仍在筑底阶段；专项债虽加快发行，但向实物工作量转化存在时滞，叠加4-5月天气影响，基建增速整体回落；消费略有改善，二季度增速较一季度收敛。价格指标CPI、PPI维持低位，PMI连续两个月均落于荣枯线以下；社会融资需求较弱，政府债券融资为主要支撑；受禁止手工补息和金融挤水分影响，新增社融和M1增速一度出现同时为负值情形。二季度央行多次喊话提示长端风险，但市场仅在4月底出现明显回调，后续对此反映钝化。随着中小银行下调存款利率，叠加政府债发行节奏平滑和宏观基本面持续偏弱等因素，债市在震荡中重回下行区间。</w:t>
            </w:r>
            <w:r>
              <w:rPr>
                <w:rFonts w:ascii="宋体" w:hAnsi="宋体" w:eastAsia="宋体" w:cs="宋体"/>
                <w:color w:val="000000"/>
                <w:sz w:val="21"/>
              </w:rPr>
              <w:br w:type="textWrapping"/>
            </w:r>
            <w:r>
              <w:rPr>
                <w:rFonts w:ascii="宋体" w:hAnsi="宋体" w:eastAsia="宋体" w:cs="宋体"/>
                <w:color w:val="000000"/>
                <w:sz w:val="21"/>
              </w:rPr>
              <w:t>2、产品运作</w:t>
            </w:r>
            <w:r>
              <w:rPr>
                <w:rFonts w:ascii="宋体" w:hAnsi="宋体" w:eastAsia="宋体" w:cs="宋体"/>
                <w:color w:val="000000"/>
                <w:sz w:val="21"/>
              </w:rPr>
              <w:br w:type="textWrapping"/>
            </w:r>
            <w:r>
              <w:rPr>
                <w:rFonts w:ascii="宋体" w:hAnsi="宋体" w:eastAsia="宋体" w:cs="宋体"/>
                <w:color w:val="000000"/>
                <w:sz w:val="21"/>
              </w:rPr>
              <w:t xml:space="preserve">    二季度以来，产品在震荡环境中以票息策略为主，在策略上保持了中性组合杠杆和中性久期，把握国股行二永债等流动性较好的投资品种，同时积极进行波段交易，增厚组合收益，保证组合在降低产品波动的同时获得了较好的持有收益。整体而言，二季度产品净值继续延续了一季度稳步增长的趋势。</w:t>
            </w:r>
            <w:r>
              <w:rPr>
                <w:rFonts w:ascii="宋体" w:hAnsi="宋体" w:eastAsia="宋体" w:cs="宋体"/>
                <w:color w:val="000000"/>
                <w:sz w:val="21"/>
              </w:rPr>
              <w:br w:type="textWrapping"/>
            </w:r>
            <w:r>
              <w:rPr>
                <w:rFonts w:ascii="宋体" w:hAnsi="宋体" w:eastAsia="宋体" w:cs="宋体"/>
                <w:color w:val="000000"/>
                <w:sz w:val="21"/>
              </w:rPr>
              <w:t>二、2024年三季度展望与投资</w:t>
            </w:r>
            <w:r>
              <w:rPr>
                <w:rFonts w:ascii="宋体" w:hAnsi="宋体" w:eastAsia="宋体" w:cs="宋体"/>
                <w:color w:val="000000"/>
                <w:sz w:val="21"/>
              </w:rPr>
              <w:br w:type="textWrapping"/>
            </w:r>
            <w:r>
              <w:rPr>
                <w:rFonts w:ascii="宋体" w:hAnsi="宋体" w:eastAsia="宋体" w:cs="宋体"/>
                <w:color w:val="000000"/>
                <w:sz w:val="21"/>
              </w:rPr>
              <w:t>1、2024年三季度展望</w:t>
            </w:r>
            <w:r>
              <w:rPr>
                <w:rFonts w:ascii="宋体" w:hAnsi="宋体" w:eastAsia="宋体" w:cs="宋体"/>
                <w:color w:val="000000"/>
                <w:sz w:val="21"/>
              </w:rPr>
              <w:br w:type="textWrapping"/>
            </w:r>
            <w:r>
              <w:rPr>
                <w:rFonts w:ascii="宋体" w:hAnsi="宋体" w:eastAsia="宋体" w:cs="宋体"/>
                <w:color w:val="000000"/>
                <w:sz w:val="21"/>
              </w:rPr>
              <w:t xml:space="preserve">    2024年三季度基本面预计继续维持弱复苏、低通胀的状态，地产政策出台后更多是以价换量行情，房价下跌预期短期内难言逆转。跨季后，随着银行理财、公募基金资金回流，资金面预计维持宽松。央行货币框架有所变动，以OMO作为短端的锚，淡化MLF对长端的指导作用，后续或主动参与债券买卖或债券借入交易指导市场利率。央行参与市场的行为对债市的影响更趋于短期脉冲式扰动，真正定价还在基本面。随着存款利率等广谱利率的下调，贷款利率仍存在降息空间。供需方面，城投债融资预计将继续缩量，资金配置需求仍强，债市将持续处于“资产荒”行情中。整体而言，对三季度债市维持震荡偏强的判断。</w:t>
            </w:r>
            <w:r>
              <w:rPr>
                <w:rFonts w:ascii="宋体" w:hAnsi="宋体" w:eastAsia="宋体" w:cs="宋体"/>
                <w:color w:val="000000"/>
                <w:sz w:val="21"/>
              </w:rPr>
              <w:br w:type="textWrapping"/>
            </w:r>
            <w:r>
              <w:rPr>
                <w:rFonts w:ascii="宋体" w:hAnsi="宋体" w:eastAsia="宋体" w:cs="宋体"/>
                <w:color w:val="000000"/>
                <w:sz w:val="21"/>
              </w:rPr>
              <w:t>2、投资策略</w:t>
            </w:r>
            <w:r>
              <w:rPr>
                <w:rFonts w:ascii="宋体" w:hAnsi="宋体" w:eastAsia="宋体" w:cs="宋体"/>
                <w:color w:val="000000"/>
                <w:sz w:val="21"/>
              </w:rPr>
              <w:br w:type="textWrapping"/>
            </w:r>
            <w:r>
              <w:rPr>
                <w:rFonts w:ascii="宋体" w:hAnsi="宋体" w:eastAsia="宋体" w:cs="宋体"/>
                <w:color w:val="000000"/>
                <w:sz w:val="21"/>
              </w:rPr>
              <w:t xml:space="preserve">    短期内，信用债及城投债票息及久期策略仍然占优。策略上，继续保持中性的杠杆和久期，少量仓位参与流动性较好的中高等级信用债品种交易，增厚收益，后续重点关注三季度债券供给因素和资金面变化。</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8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六. 投资组合情况</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0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400" w:hRule="atLeast"/>
        </w:trPr>
        <w:tc>
          <w:p>
            <w:pPr>
              <w:pStyle w:val="4"/>
            </w:pPr>
          </w:p>
        </w:tc>
        <w:tc>
          <w:p>
            <w:pPr>
              <w:pStyle w:val="4"/>
            </w:pPr>
          </w:p>
        </w:tc>
        <w:tc>
          <w:tcPr>
            <w:gridSpan w:val="15"/>
            <w:tcMar>
              <w:top w:w="0" w:type="dxa"/>
              <w:left w:w="0" w:type="dxa"/>
              <w:bottom w:w="0" w:type="dxa"/>
              <w:right w:w="0" w:type="dxa"/>
            </w:tcMar>
            <w:vAlign w:val="center"/>
          </w:tcPr>
          <w:p>
            <w:pPr>
              <w:jc w:val="left"/>
            </w:pPr>
            <w:r>
              <w:rPr>
                <w:rFonts w:ascii="宋体" w:hAnsi="宋体" w:eastAsia="宋体" w:cs="宋体"/>
                <w:b/>
                <w:color w:val="000000"/>
                <w:sz w:val="21"/>
              </w:rPr>
              <w:t>1.报告期末产品资产组合情况</w:t>
            </w:r>
          </w:p>
        </w:tc>
        <w:tc>
          <w:p>
            <w:pPr>
              <w:pStyle w:val="4"/>
            </w:pPr>
          </w:p>
        </w:tc>
      </w:tr>
      <w:tr>
        <w:tblPrEx>
          <w:tblCellMar>
            <w:top w:w="0" w:type="dxa"/>
            <w:left w:w="10" w:type="dxa"/>
            <w:bottom w:w="0" w:type="dxa"/>
            <w:right w:w="10" w:type="dxa"/>
          </w:tblCellMar>
        </w:tblPrEx>
        <w:trPr>
          <w:gridAfter w:val="2"/>
          <w:trHeight w:val="4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3000" w:hRule="exact"/>
        </w:trPr>
        <w:tc>
          <w:p>
            <w:pPr>
              <w:pStyle w:val="4"/>
            </w:pPr>
          </w:p>
        </w:tc>
        <w:tc>
          <w:p>
            <w:pPr>
              <w:pStyle w:val="4"/>
            </w:pPr>
          </w:p>
        </w:tc>
        <w:tc>
          <w:tcPr>
            <w:gridSpan w:val="15"/>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2600"/>
              <w:gridCol w:w="3600"/>
              <w:gridCol w:w="3500"/>
            </w:tblGrid>
            <w:tr>
              <w:tblPrEx>
                <w:tblCellMar>
                  <w:top w:w="0" w:type="dxa"/>
                  <w:left w:w="10" w:type="dxa"/>
                  <w:bottom w:w="0" w:type="dxa"/>
                  <w:right w:w="10" w:type="dxa"/>
                </w:tblCellMar>
              </w:tblPrEx>
              <w:trPr>
                <w:trHeight w:val="600" w:hRule="atLeast"/>
              </w:trPr>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资产类型</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直接投资占产品总资产的比例（%）</w:t>
                        </w:r>
                      </w:p>
                    </w:tc>
                  </w:tr>
                </w:tbl>
                <w:p>
                  <w:pPr>
                    <w:pStyle w:val="4"/>
                  </w:pPr>
                </w:p>
              </w:tc>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间接投资占产品总资产的比例（%）</w:t>
                  </w: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现金及银行存款</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0.04</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1.12</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委外投资</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99.96</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0.00</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债券</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0.00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98.88</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600" w:hRule="atLeast"/>
                    </w:trPr>
                    <w:tc>
                      <w:tcPr>
                        <w:tcMar>
                          <w:top w:w="0" w:type="dxa"/>
                          <w:left w:w="0" w:type="dxa"/>
                          <w:bottom w:w="0" w:type="dxa"/>
                          <w:right w:w="0" w:type="dxa"/>
                        </w:tcMar>
                        <w:vAlign w:val="center"/>
                      </w:tcPr>
                      <w:p>
                        <w:pPr>
                          <w:jc w:val="center"/>
                        </w:pP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总计</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100.00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100.00</w:t>
                        </w:r>
                      </w:p>
                    </w:tc>
                  </w:tr>
                </w:tbl>
                <w:p>
                  <w:pPr>
                    <w:pStyle w:val="4"/>
                  </w:pPr>
                </w:p>
              </w:tc>
            </w:tr>
          </w:tbl>
          <w:p>
            <w:pPr>
              <w:pStyle w:val="4"/>
            </w:pPr>
          </w:p>
        </w:tc>
        <w:tc>
          <w:p>
            <w:pPr>
              <w:pStyle w:val="4"/>
            </w:pPr>
          </w:p>
        </w:tc>
      </w:tr>
      <w:tr>
        <w:tblPrEx>
          <w:tblCellMar>
            <w:top w:w="0" w:type="dxa"/>
            <w:left w:w="10" w:type="dxa"/>
            <w:bottom w:w="0" w:type="dxa"/>
            <w:right w:w="10" w:type="dxa"/>
          </w:tblCellMar>
        </w:tblPrEx>
        <w:trPr>
          <w:gridAfter w:val="2"/>
          <w:trHeight w:val="2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400" w:hRule="atLeast"/>
        </w:trPr>
        <w:tc>
          <w:p>
            <w:pPr>
              <w:pStyle w:val="4"/>
            </w:pPr>
          </w:p>
        </w:tc>
        <w:tc>
          <w:p>
            <w:pPr>
              <w:pStyle w:val="4"/>
            </w:pPr>
          </w:p>
        </w:tc>
        <w:tc>
          <w:tcPr>
            <w:gridSpan w:val="5"/>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5/</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7</w:t>
            </w: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5" w:name="JR_PAGE_ANCHOR_0_6"/>
            <w:bookmarkEnd w:id="5"/>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兴银理财稳利丰收封闭式51号固收类理财产品2024年第二季度报告</w:t>
            </w: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pPr>
              <w:jc w:val="left"/>
            </w:pPr>
            <w:r>
              <w:rPr>
                <w:rFonts w:ascii="宋体" w:hAnsi="宋体" w:eastAsia="宋体" w:cs="宋体"/>
                <w:b/>
                <w:color w:val="000000"/>
                <w:sz w:val="21"/>
              </w:rPr>
              <w:t>2.报告期末杠杆融资情况</w:t>
            </w:r>
          </w:p>
        </w:tc>
        <w:tc>
          <w:tcPr>
            <w:gridSpan w:val="4"/>
          </w:tcPr>
          <w:p>
            <w:pPr>
              <w:pStyle w:val="4"/>
            </w:pPr>
          </w:p>
        </w:tc>
        <w:tc>
          <w:p>
            <w:pPr>
              <w:pStyle w:val="4"/>
            </w:pPr>
          </w:p>
        </w:tc>
      </w:tr>
      <w:tr>
        <w:tblPrEx>
          <w:tblCellMar>
            <w:top w:w="0" w:type="dxa"/>
            <w:left w:w="10" w:type="dxa"/>
            <w:bottom w:w="0" w:type="dxa"/>
            <w:right w:w="10" w:type="dxa"/>
          </w:tblCellMar>
        </w:tblPrEx>
        <w:trPr>
          <w:trHeight w:val="1000" w:hRule="atLeast"/>
        </w:trPr>
        <w:tc>
          <w:p>
            <w:pPr>
              <w:pStyle w:val="4"/>
            </w:pPr>
          </w:p>
        </w:tc>
        <w:tc>
          <w:tcPr>
            <w:gridSpan w:val="14"/>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 xml:space="preserve">    报告期末本产品总资产未超过该产品净资产规模的200%，符合产品协议对本产品杠杆比例的要求。</w:t>
            </w: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pPr>
              <w:jc w:val="left"/>
            </w:pPr>
            <w:r>
              <w:rPr>
                <w:rFonts w:ascii="宋体" w:hAnsi="宋体" w:eastAsia="宋体" w:cs="宋体"/>
                <w:b/>
                <w:color w:val="000000"/>
                <w:sz w:val="21"/>
              </w:rPr>
              <w:t>3.投资组合的流动性风险分析</w:t>
            </w:r>
          </w:p>
        </w:tc>
        <w:tc>
          <w:tcPr>
            <w:gridSpan w:val="4"/>
          </w:tcPr>
          <w:p>
            <w:pPr>
              <w:pStyle w:val="4"/>
            </w:pPr>
          </w:p>
        </w:tc>
        <w:tc>
          <w:p>
            <w:pPr>
              <w:pStyle w:val="4"/>
            </w:pPr>
          </w:p>
        </w:tc>
      </w:tr>
      <w:tr>
        <w:tblPrEx>
          <w:tblCellMar>
            <w:top w:w="0" w:type="dxa"/>
            <w:left w:w="10" w:type="dxa"/>
            <w:bottom w:w="0" w:type="dxa"/>
            <w:right w:w="10" w:type="dxa"/>
          </w:tblCellMar>
        </w:tblPrEx>
        <w:trPr>
          <w:trHeight w:val="2240" w:hRule="atLeast"/>
        </w:trPr>
        <w:tc>
          <w:p>
            <w:pPr>
              <w:pStyle w:val="4"/>
            </w:pPr>
          </w:p>
        </w:tc>
        <w:tc>
          <w:tcPr>
            <w:gridSpan w:val="14"/>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 xml:space="preserve">    流动性风险是指产品在履行与金融负债有关的义务时遇到资金短缺的风险。本产品的流动性风险主要来自于若投资品种所处的交易市场不活跃，可能带来资产变现困难或产品持仓资产在市场出现剧烈波动的情况下难以以合理价格变现的风险。 为防范无法支付到期赎回款而产生的流动性风险，本理财产品管理人将合理安排所投资产期限，产品到期前完成所投资组合中相关资产变现，尽可能降低产品流动性风险，有效保障理财持有人利益。 报告期内，本理财产品管理人严格遵守相关法律法规以及产品销售协议，对理财产品组合资产的流动性风险进行管理，报告期内未发生流动性风险。</w:t>
            </w:r>
            <w:r>
              <w:rPr>
                <w:rFonts w:ascii="宋体" w:hAnsi="宋体" w:eastAsia="宋体" w:cs="宋体"/>
                <w:color w:val="000000"/>
                <w:sz w:val="21"/>
              </w:rPr>
              <w:br w:type="textWrapping"/>
            </w:r>
          </w:p>
        </w:tc>
        <w:tc>
          <w:tcPr>
            <w:gridSpan w:val="4"/>
          </w:tcPr>
          <w:p>
            <w:pPr>
              <w:pStyle w:val="4"/>
            </w:pPr>
          </w:p>
        </w:tc>
        <w:tc>
          <w:p>
            <w:pPr>
              <w:pStyle w:val="4"/>
            </w:pPr>
          </w:p>
        </w:tc>
      </w:tr>
      <w:tr>
        <w:tblPrEx>
          <w:tblCellMar>
            <w:top w:w="0" w:type="dxa"/>
            <w:left w:w="10" w:type="dxa"/>
            <w:bottom w:w="0" w:type="dxa"/>
            <w:right w:w="10" w:type="dxa"/>
          </w:tblCellMar>
        </w:tblPrEx>
        <w:trPr>
          <w:trHeight w:val="54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2"/>
          </w:tcPr>
          <w:p>
            <w:pPr>
              <w:pStyle w:val="4"/>
            </w:pPr>
          </w:p>
        </w:tc>
        <w:tc>
          <w:tcPr>
            <w:gridSpan w:val="16"/>
            <w:tcMar>
              <w:top w:w="0" w:type="dxa"/>
              <w:left w:w="0" w:type="dxa"/>
              <w:bottom w:w="0" w:type="dxa"/>
              <w:right w:w="0" w:type="dxa"/>
            </w:tcMar>
            <w:vAlign w:val="center"/>
          </w:tcPr>
          <w:p>
            <w:r>
              <w:rPr>
                <w:rFonts w:ascii="宋体" w:hAnsi="宋体" w:eastAsia="宋体" w:cs="宋体"/>
                <w:b/>
                <w:color w:val="000000"/>
                <w:sz w:val="21"/>
              </w:rPr>
              <w:t>4.报告期末资产持仓前十基本信息</w:t>
            </w:r>
          </w:p>
        </w:tc>
        <w:tc>
          <w:p>
            <w:pPr>
              <w:pStyle w:val="4"/>
            </w:pPr>
          </w:p>
        </w:tc>
      </w:tr>
      <w:tr>
        <w:tblPrEx>
          <w:tblCellMar>
            <w:top w:w="0" w:type="dxa"/>
            <w:left w:w="10" w:type="dxa"/>
            <w:bottom w:w="0" w:type="dxa"/>
            <w:right w:w="10" w:type="dxa"/>
          </w:tblCellMar>
        </w:tblPrEx>
        <w:trPr>
          <w:trHeight w:val="6640" w:hRule="exact"/>
        </w:trPr>
        <w:tc>
          <w:p>
            <w:pPr>
              <w:pStyle w:val="4"/>
            </w:pPr>
          </w:p>
        </w:tc>
        <w:tc>
          <w:tcPr>
            <w:gridSpan w:val="2"/>
          </w:tcPr>
          <w:p>
            <w:pPr>
              <w:pStyle w:val="4"/>
            </w:pPr>
          </w:p>
        </w:tc>
        <w:tc>
          <w:tcPr>
            <w:gridSpan w:val="16"/>
            <w:tcBorders>
              <w:bottom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4000"/>
              <w:gridCol w:w="2600"/>
              <w:gridCol w:w="3100"/>
            </w:tblGrid>
            <w:tr>
              <w:tblPrEx>
                <w:tblCellMar>
                  <w:top w:w="0" w:type="dxa"/>
                  <w:left w:w="10" w:type="dxa"/>
                  <w:bottom w:w="0" w:type="dxa"/>
                  <w:right w:w="10" w:type="dxa"/>
                </w:tblCellMar>
              </w:tblPrEx>
              <w:trPr>
                <w:trHeight w:val="64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资产名称</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资产规模</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占产品资产净值的比例（%）</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21恒丰银行永续债</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2,894,611.75</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3.32</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22民泰商行永续债02</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2,872,428.52</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3.29</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24重庆科城PPN001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2,743,813.49</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3.14</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23温州银行永续债02</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2,291,189.84</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2.63</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22厦门农商二级01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2,263,684.63</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2.59</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23晋江国资MTN005</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2,215,379.68</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2.54</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24即墨旅投PPN001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2,196,367.04</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2.52</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8</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24知投01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2,191,204.76</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2.51</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23凯盛科技MTN002</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2,184,746.41</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2.50</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山招YK02</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2,178,102.24</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2.50</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256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4"/>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6/</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7</w:t>
            </w: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6" w:name="JR_PAGE_ANCHOR_0_7"/>
            <w:bookmarkEnd w:id="6"/>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兴银理财稳利丰收封闭式51号固收类理财产品2024年第二季度报告</w:t>
            </w: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2"/>
          </w:tcPr>
          <w:p>
            <w:pPr>
              <w:pStyle w:val="4"/>
            </w:pPr>
          </w:p>
        </w:tc>
        <w:tc>
          <w:tcPr>
            <w:gridSpan w:val="16"/>
            <w:tcMar>
              <w:top w:w="0" w:type="dxa"/>
              <w:left w:w="0" w:type="dxa"/>
              <w:bottom w:w="0" w:type="dxa"/>
              <w:right w:w="0" w:type="dxa"/>
            </w:tcMar>
            <w:vAlign w:val="center"/>
          </w:tcPr>
          <w:p>
            <w:r>
              <w:rPr>
                <w:rFonts w:ascii="宋体" w:hAnsi="宋体" w:eastAsia="宋体" w:cs="宋体"/>
                <w:b/>
                <w:color w:val="000000"/>
                <w:sz w:val="21"/>
              </w:rPr>
              <w:t>5.报告期末持有非标准化债权类资产情况</w:t>
            </w: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2"/>
          </w:tcPr>
          <w:p>
            <w:pPr>
              <w:pStyle w:val="4"/>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3600"/>
              <w:gridCol w:w="2200"/>
              <w:gridCol w:w="1200"/>
              <w:gridCol w:w="1600"/>
              <w:gridCol w:w="11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项目名称</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融资客户</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剩余融资期限（天）</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交易结构</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风险状况</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2"/>
          </w:tcPr>
          <w:p>
            <w:pPr>
              <w:pStyle w:val="4"/>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7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700"/>
                  </w:tblGrid>
                  <w:tr>
                    <w:trPr>
                      <w:trHeight w:val="600" w:hRule="atLeas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center"/>
                        </w:pPr>
                        <w:r>
                          <w:rPr>
                            <w:rFonts w:ascii="宋体" w:hAnsi="宋体" w:eastAsia="宋体" w:cs="宋体"/>
                            <w:color w:val="000000"/>
                            <w:sz w:val="21"/>
                          </w:rPr>
                          <w:t>无</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52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r>
              <w:rPr>
                <w:rFonts w:ascii="宋体" w:hAnsi="宋体" w:eastAsia="宋体" w:cs="宋体"/>
                <w:b/>
                <w:color w:val="000000"/>
                <w:sz w:val="21"/>
              </w:rPr>
              <w:t>6.报告期间关联交易情况</w:t>
            </w: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10"/>
            <w:tcMar>
              <w:top w:w="0" w:type="dxa"/>
              <w:left w:w="0" w:type="dxa"/>
              <w:bottom w:w="0" w:type="dxa"/>
              <w:right w:w="0" w:type="dxa"/>
            </w:tcMar>
            <w:vAlign w:val="top"/>
          </w:tcPr>
          <w:p>
            <w:r>
              <w:rPr>
                <w:rFonts w:ascii="宋体" w:hAnsi="宋体" w:eastAsia="宋体" w:cs="宋体"/>
                <w:color w:val="000000"/>
                <w:sz w:val="20"/>
              </w:rPr>
              <w:t>6.1 理财产品在报告期末投资关联方发行、承销的证券的情况</w:t>
            </w: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gridCol w:w="2200"/>
              <w:gridCol w:w="38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资产名称</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资产面额（元）</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承销商/发行人</w:t>
                        </w: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700"/>
            </w:tblGrid>
            <w:tr>
              <w:tblPrEx>
                <w:tblCellMar>
                  <w:top w:w="0" w:type="dxa"/>
                  <w:left w:w="10" w:type="dxa"/>
                  <w:bottom w:w="0" w:type="dxa"/>
                  <w:right w:w="10" w:type="dxa"/>
                </w:tblCellMar>
              </w:tblPrEx>
              <w:trPr>
                <w:trHeight w:val="600" w:hRule="exact"/>
              </w:trPr>
              <w:tc>
                <w:tcPr>
                  <w:tcBorders>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6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无</w:t>
                        </w:r>
                      </w:p>
                    </w:tc>
                    <w:tc>
                      <w:p>
                        <w:pPr>
                          <w:pStyle w:val="4"/>
                        </w:pP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10"/>
            <w:tcMar>
              <w:top w:w="0" w:type="dxa"/>
              <w:left w:w="0" w:type="dxa"/>
              <w:bottom w:w="0" w:type="dxa"/>
              <w:right w:w="0" w:type="dxa"/>
            </w:tcMar>
            <w:vAlign w:val="top"/>
          </w:tcPr>
          <w:p>
            <w:r>
              <w:rPr>
                <w:rFonts w:ascii="宋体" w:hAnsi="宋体" w:eastAsia="宋体" w:cs="宋体"/>
                <w:color w:val="000000"/>
                <w:sz w:val="20"/>
              </w:rPr>
              <w:t>6.2 理财产品在报告期内其他关联交易</w:t>
            </w:r>
          </w:p>
        </w:tc>
        <w:tc>
          <w:tcPr>
            <w:gridSpan w:val="4"/>
          </w:tcPr>
          <w:p>
            <w:pPr>
              <w:pStyle w:val="4"/>
            </w:pPr>
          </w:p>
        </w:tc>
        <w:tc>
          <w:p>
            <w:pPr>
              <w:pStyle w:val="4"/>
            </w:pPr>
          </w:p>
        </w:tc>
      </w:tr>
      <w:tr>
        <w:tblPrEx>
          <w:tblCellMar>
            <w:top w:w="0" w:type="dxa"/>
            <w:left w:w="10" w:type="dxa"/>
            <w:bottom w:w="0" w:type="dxa"/>
            <w:right w:w="10" w:type="dxa"/>
          </w:tblCellMar>
        </w:tblPrEx>
        <w:trPr>
          <w:trHeight w:val="12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gridCol w:w="2000"/>
              <w:gridCol w:w="1800"/>
              <w:gridCol w:w="31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交易标的</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交易金额（万元）</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交易类型</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关联方名称</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兴银理财稳利丰收封闭式51号固收类理财产品</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0.6185</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托管费</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10"/>
            <w:tcMar>
              <w:top w:w="0" w:type="dxa"/>
              <w:left w:w="0" w:type="dxa"/>
              <w:bottom w:w="0" w:type="dxa"/>
              <w:right w:w="0" w:type="dxa"/>
            </w:tcMar>
            <w:vAlign w:val="top"/>
          </w:tcPr>
          <w:p>
            <w:r>
              <w:rPr>
                <w:rFonts w:ascii="宋体" w:hAnsi="宋体" w:eastAsia="宋体" w:cs="宋体"/>
                <w:color w:val="000000"/>
                <w:sz w:val="20"/>
              </w:rPr>
              <w:t>6.3 理财产品在报告期内中的重大关联交易</w:t>
            </w: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gridCol w:w="2000"/>
              <w:gridCol w:w="1800"/>
              <w:gridCol w:w="31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资产名称</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资产面额（元）</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交易类型</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关联方名称</w:t>
                        </w: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700"/>
            </w:tblGrid>
            <w:tr>
              <w:tblPrEx>
                <w:tblCellMar>
                  <w:top w:w="0" w:type="dxa"/>
                  <w:left w:w="10" w:type="dxa"/>
                  <w:bottom w:w="0" w:type="dxa"/>
                  <w:right w:w="10" w:type="dxa"/>
                </w:tblCellMar>
              </w:tblPrEx>
              <w:trPr>
                <w:trHeight w:val="600" w:hRule="exact"/>
              </w:trPr>
              <w:tc>
                <w:tcPr>
                  <w:tcBorders>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6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无</w:t>
                        </w:r>
                      </w:p>
                    </w:tc>
                    <w:tc>
                      <w:p>
                        <w:pPr>
                          <w:pStyle w:val="4"/>
                        </w:pP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16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16"/>
            <w:tcMar>
              <w:top w:w="0" w:type="dxa"/>
              <w:left w:w="0" w:type="dxa"/>
              <w:bottom w:w="0" w:type="dxa"/>
              <w:right w:w="0" w:type="dxa"/>
            </w:tcMar>
            <w:vAlign w:val="center"/>
          </w:tcPr>
          <w:p>
            <w:pPr>
              <w:jc w:val="left"/>
            </w:pPr>
            <w:r>
              <w:rPr>
                <w:rFonts w:ascii="宋体" w:hAnsi="宋体" w:eastAsia="宋体" w:cs="宋体"/>
                <w:b/>
                <w:color w:val="000000"/>
                <w:sz w:val="21"/>
              </w:rPr>
              <w:t>7.投资账户信息</w:t>
            </w:r>
          </w:p>
        </w:tc>
        <w:tc>
          <w:p>
            <w:pPr>
              <w:pStyle w:val="4"/>
            </w:pPr>
          </w:p>
        </w:tc>
      </w:tr>
      <w:tr>
        <w:tblPrEx>
          <w:tblCellMar>
            <w:top w:w="0" w:type="dxa"/>
            <w:left w:w="10" w:type="dxa"/>
            <w:bottom w:w="0" w:type="dxa"/>
            <w:right w:w="10" w:type="dxa"/>
          </w:tblCellMar>
        </w:tblPrEx>
        <w:trPr>
          <w:trHeight w:val="1200" w:hRule="exact"/>
        </w:trPr>
        <w:tc>
          <w:p>
            <w:pPr>
              <w:pStyle w:val="4"/>
            </w:pPr>
          </w:p>
        </w:tc>
        <w:tc>
          <w:tcPr>
            <w:gridSpan w:val="2"/>
          </w:tcPr>
          <w:p>
            <w:pPr>
              <w:pStyle w:val="4"/>
            </w:pPr>
          </w:p>
        </w:tc>
        <w:tc>
          <w:tcPr>
            <w:gridSpan w:val="16"/>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2200"/>
              <w:gridCol w:w="3000"/>
              <w:gridCol w:w="4500"/>
            </w:tblGrid>
            <w:tr>
              <w:tblPrEx>
                <w:tblCellMar>
                  <w:top w:w="0" w:type="dxa"/>
                  <w:left w:w="10" w:type="dxa"/>
                  <w:bottom w:w="0" w:type="dxa"/>
                  <w:right w:w="10" w:type="dxa"/>
                </w:tblCellMar>
              </w:tblPrEx>
              <w:trPr>
                <w:trHeight w:val="60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账户类型</w:t>
                        </w:r>
                      </w:p>
                    </w:tc>
                  </w:tr>
                </w:tbl>
                <w:p>
                  <w:pPr>
                    <w:pStyle w:val="4"/>
                  </w:pPr>
                </w:p>
              </w:tc>
              <w:tc>
                <w:tcPr>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账户编号</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3B4B5"/>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5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账户名称</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托管账户</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051010100101751728</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兴银理财稳利丰收封闭式51号固收类理财产品</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96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center"/>
          </w:tcPr>
          <w:p>
            <w:pPr>
              <w:jc w:val="right"/>
            </w:pPr>
            <w:r>
              <w:rPr>
                <w:rFonts w:ascii="宋体" w:hAnsi="宋体" w:eastAsia="宋体" w:cs="宋体"/>
                <w:color w:val="000000"/>
                <w:sz w:val="21"/>
              </w:rPr>
              <w:t>兴银理财有限责任公司</w:t>
            </w: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top"/>
          </w:tcPr>
          <w:p>
            <w:pPr>
              <w:jc w:val="right"/>
            </w:pPr>
            <w:r>
              <w:rPr>
                <w:rFonts w:ascii="宋体" w:hAnsi="宋体" w:eastAsia="宋体" w:cs="宋体"/>
                <w:color w:val="000000"/>
                <w:sz w:val="21"/>
              </w:rPr>
              <w:t>2024年7月19日</w:t>
            </w:r>
          </w:p>
        </w:tc>
        <w:tc>
          <w:tcPr>
            <w:gridSpan w:val="4"/>
          </w:tcPr>
          <w:p>
            <w:pPr>
              <w:pStyle w:val="4"/>
            </w:pPr>
          </w:p>
        </w:tc>
        <w:tc>
          <w:p>
            <w:pPr>
              <w:pStyle w:val="4"/>
            </w:pPr>
          </w:p>
        </w:tc>
      </w:tr>
      <w:tr>
        <w:tblPrEx>
          <w:tblCellMar>
            <w:top w:w="0" w:type="dxa"/>
            <w:left w:w="10" w:type="dxa"/>
            <w:bottom w:w="0" w:type="dxa"/>
            <w:right w:w="10" w:type="dxa"/>
          </w:tblCellMar>
        </w:tblPrEx>
        <w:trPr>
          <w:trHeight w:val="276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2"/>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7/</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7</w:t>
            </w:r>
          </w:p>
        </w:tc>
        <w:tc>
          <w:tcPr>
            <w:gridSpan w:val="3"/>
          </w:tcPr>
          <w:p>
            <w:pPr>
              <w:pStyle w:val="4"/>
            </w:pPr>
          </w:p>
        </w:tc>
        <w:tc>
          <w:tcPr>
            <w:gridSpan w:val="4"/>
          </w:tcPr>
          <w:p>
            <w:pPr>
              <w:pStyle w:val="4"/>
            </w:pPr>
          </w:p>
        </w:tc>
        <w:tc>
          <w:p>
            <w:pPr>
              <w:pStyle w:val="4"/>
            </w:pPr>
          </w:p>
        </w:tc>
      </w:tr>
    </w:tbl>
    <w:p/>
    <w:sectPr>
      <w:pgSz w:w="11900" w:h="16840"/>
      <w:pgMar w:top="600" w:right="560" w:bottom="240" w:left="600" w:header="0" w:footer="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800"/>
  <w:compat>
    <w:useFELayout/>
    <w:splitPgBreakAndParaMark/>
    <w:compatSetting w:name="compatibilityMode" w:uri="http://schemas.microsoft.com/office/word" w:val="12"/>
  </w:compat>
  <w:rsids>
    <w:rsidRoot w:val="00000000"/>
    <w:rsid w:val="6C652D5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EMPTY_CELL_STYLE"/>
    <w:qFormat/>
    <w:uiPriority w:val="0"/>
    <w:pPr>
      <w:spacing w:line="240" w:lineRule="auto"/>
    </w:pPr>
    <w:rPr>
      <w:rFonts w:ascii="SansSerif" w:hAnsi="SansSerif" w:eastAsia="SansSerif" w:cs="SansSerif"/>
      <w:color w:val="000000"/>
      <w:sz w:val="1"/>
      <w:szCs w:val="22"/>
    </w:rPr>
  </w:style>
  <w:style w:type="paragraph" w:customStyle="1" w:styleId="5">
    <w:name w:val="Table_TH"/>
    <w:qFormat/>
    <w:uiPriority w:val="0"/>
    <w:pPr>
      <w:spacing w:line="240" w:lineRule="auto"/>
    </w:pPr>
    <w:rPr>
      <w:rFonts w:ascii="SansSerif" w:hAnsi="SansSerif" w:eastAsia="SansSerif" w:cs="SansSerif"/>
      <w:color w:val="000000"/>
      <w:sz w:val="20"/>
      <w:szCs w:val="22"/>
    </w:rPr>
  </w:style>
  <w:style w:type="paragraph" w:customStyle="1" w:styleId="6">
    <w:name w:val="Table_CH"/>
    <w:qFormat/>
    <w:uiPriority w:val="0"/>
    <w:pPr>
      <w:spacing w:line="240" w:lineRule="auto"/>
    </w:pPr>
    <w:rPr>
      <w:rFonts w:ascii="SansSerif" w:hAnsi="SansSerif" w:eastAsia="SansSerif" w:cs="SansSerif"/>
      <w:color w:val="000000"/>
      <w:sz w:val="20"/>
      <w:szCs w:val="22"/>
    </w:rPr>
  </w:style>
  <w:style w:type="paragraph" w:customStyle="1" w:styleId="7">
    <w:name w:val="Table_TD"/>
    <w:qFormat/>
    <w:uiPriority w:val="0"/>
    <w:pPr>
      <w:spacing w:line="240" w:lineRule="auto"/>
    </w:pPr>
    <w:rPr>
      <w:rFonts w:ascii="SansSerif" w:hAnsi="SansSerif" w:eastAsia="SansSerif" w:cs="SansSerif"/>
      <w:color w:val="000000"/>
      <w:sz w:val="20"/>
      <w:szCs w:val="22"/>
    </w:rPr>
  </w:style>
  <w:style w:type="paragraph" w:customStyle="1" w:styleId="8">
    <w:name w:val="Table 1_TH"/>
    <w:qFormat/>
    <w:uiPriority w:val="0"/>
    <w:pPr>
      <w:spacing w:line="240" w:lineRule="auto"/>
    </w:pPr>
    <w:rPr>
      <w:rFonts w:ascii="SansSerif" w:hAnsi="SansSerif" w:eastAsia="SansSerif" w:cs="SansSerif"/>
      <w:color w:val="000000"/>
      <w:sz w:val="20"/>
      <w:szCs w:val="22"/>
    </w:rPr>
  </w:style>
  <w:style w:type="paragraph" w:customStyle="1" w:styleId="9">
    <w:name w:val="Table 1_CH"/>
    <w:qFormat/>
    <w:uiPriority w:val="0"/>
    <w:pPr>
      <w:spacing w:line="240" w:lineRule="auto"/>
    </w:pPr>
    <w:rPr>
      <w:rFonts w:ascii="SansSerif" w:hAnsi="SansSerif" w:eastAsia="SansSerif" w:cs="SansSerif"/>
      <w:color w:val="000000"/>
      <w:sz w:val="20"/>
      <w:szCs w:val="22"/>
    </w:rPr>
  </w:style>
  <w:style w:type="paragraph" w:customStyle="1" w:styleId="10">
    <w:name w:val="Table 1_TD"/>
    <w:qFormat/>
    <w:uiPriority w:val="0"/>
    <w:pPr>
      <w:spacing w:line="240" w:lineRule="auto"/>
    </w:pPr>
    <w:rPr>
      <w:rFonts w:ascii="SansSerif" w:hAnsi="SansSerif" w:eastAsia="SansSerif" w:cs="SansSerif"/>
      <w:color w:val="000000"/>
      <w:sz w:val="20"/>
      <w:szCs w:val="22"/>
    </w:rPr>
  </w:style>
  <w:style w:type="paragraph" w:customStyle="1" w:styleId="11">
    <w:name w:val="Table_CD"/>
    <w:qFormat/>
    <w:uiPriority w:val="0"/>
    <w:pPr>
      <w:spacing w:line="240" w:lineRule="auto"/>
    </w:pPr>
    <w:rPr>
      <w:rFonts w:ascii="SansSerif" w:hAnsi="SansSerif" w:eastAsia="SansSerif" w:cs="SansSerif"/>
      <w:color w:val="000000"/>
      <w:sz w:val="20"/>
      <w:szCs w:val="22"/>
    </w:rPr>
  </w:style>
  <w:style w:type="paragraph" w:customStyle="1" w:styleId="12">
    <w:name w:val="Table 2_TH"/>
    <w:qFormat/>
    <w:uiPriority w:val="0"/>
    <w:pPr>
      <w:spacing w:line="240" w:lineRule="auto"/>
    </w:pPr>
    <w:rPr>
      <w:rFonts w:ascii="SansSerif" w:hAnsi="SansSerif" w:eastAsia="SansSerif" w:cs="SansSerif"/>
      <w:color w:val="000000"/>
      <w:sz w:val="20"/>
      <w:szCs w:val="22"/>
    </w:rPr>
  </w:style>
  <w:style w:type="paragraph" w:customStyle="1" w:styleId="13">
    <w:name w:val="Table 2_CH"/>
    <w:qFormat/>
    <w:uiPriority w:val="0"/>
    <w:pPr>
      <w:spacing w:line="240" w:lineRule="auto"/>
    </w:pPr>
    <w:rPr>
      <w:rFonts w:ascii="SansSerif" w:hAnsi="SansSerif" w:eastAsia="SansSerif" w:cs="SansSerif"/>
      <w:color w:val="000000"/>
      <w:sz w:val="20"/>
      <w:szCs w:val="22"/>
    </w:rPr>
  </w:style>
  <w:style w:type="paragraph" w:customStyle="1" w:styleId="14">
    <w:name w:val="Table 2_TD"/>
    <w:qFormat/>
    <w:uiPriority w:val="0"/>
    <w:pPr>
      <w:spacing w:line="240" w:lineRule="auto"/>
    </w:pPr>
    <w:rPr>
      <w:rFonts w:ascii="SansSerif" w:hAnsi="SansSerif" w:eastAsia="SansSerif" w:cs="SansSerif"/>
      <w:color w:val="000000"/>
      <w:sz w:val="20"/>
      <w:szCs w:val="22"/>
    </w:rPr>
  </w:style>
  <w:style w:type="paragraph" w:customStyle="1" w:styleId="15">
    <w:name w:val="Table 3_TH"/>
    <w:qFormat/>
    <w:uiPriority w:val="0"/>
    <w:pPr>
      <w:spacing w:line="240" w:lineRule="auto"/>
    </w:pPr>
    <w:rPr>
      <w:rFonts w:ascii="SansSerif" w:hAnsi="SansSerif" w:eastAsia="SansSerif" w:cs="SansSerif"/>
      <w:color w:val="000000"/>
      <w:sz w:val="20"/>
      <w:szCs w:val="22"/>
    </w:rPr>
  </w:style>
  <w:style w:type="paragraph" w:customStyle="1" w:styleId="16">
    <w:name w:val="Table 3_CH"/>
    <w:qFormat/>
    <w:uiPriority w:val="0"/>
    <w:pPr>
      <w:spacing w:line="240" w:lineRule="auto"/>
    </w:pPr>
    <w:rPr>
      <w:rFonts w:ascii="SansSerif" w:hAnsi="SansSerif" w:eastAsia="SansSerif" w:cs="SansSerif"/>
      <w:color w:val="000000"/>
      <w:sz w:val="20"/>
      <w:szCs w:val="22"/>
    </w:rPr>
  </w:style>
  <w:style w:type="paragraph" w:customStyle="1" w:styleId="17">
    <w:name w:val="Table 3_TD"/>
    <w:qFormat/>
    <w:uiPriority w:val="0"/>
    <w:pPr>
      <w:spacing w:line="240" w:lineRule="auto"/>
    </w:pPr>
    <w:rPr>
      <w:rFonts w:ascii="SansSerif" w:hAnsi="SansSerif" w:eastAsia="SansSerif" w:cs="SansSerif"/>
      <w:color w:val="000000"/>
      <w:sz w:val="20"/>
      <w:szCs w:val="22"/>
    </w:rPr>
  </w:style>
  <w:style w:type="paragraph" w:customStyle="1" w:styleId="18">
    <w:name w:val="Table 4_TH"/>
    <w:qFormat/>
    <w:uiPriority w:val="0"/>
    <w:pPr>
      <w:spacing w:line="240" w:lineRule="auto"/>
    </w:pPr>
    <w:rPr>
      <w:rFonts w:ascii="SansSerif" w:hAnsi="SansSerif" w:eastAsia="SansSerif" w:cs="SansSerif"/>
      <w:color w:val="000000"/>
      <w:sz w:val="20"/>
      <w:szCs w:val="22"/>
    </w:rPr>
  </w:style>
  <w:style w:type="paragraph" w:customStyle="1" w:styleId="19">
    <w:name w:val="Table 4_CH"/>
    <w:qFormat/>
    <w:uiPriority w:val="0"/>
    <w:pPr>
      <w:spacing w:line="240" w:lineRule="auto"/>
    </w:pPr>
    <w:rPr>
      <w:rFonts w:ascii="SansSerif" w:hAnsi="SansSerif" w:eastAsia="SansSerif" w:cs="SansSerif"/>
      <w:color w:val="000000"/>
      <w:sz w:val="20"/>
      <w:szCs w:val="22"/>
    </w:rPr>
  </w:style>
  <w:style w:type="paragraph" w:customStyle="1" w:styleId="20">
    <w:name w:val="Table 4_TD"/>
    <w:qFormat/>
    <w:uiPriority w:val="0"/>
    <w:pPr>
      <w:spacing w:line="240" w:lineRule="auto"/>
    </w:pPr>
    <w:rPr>
      <w:rFonts w:ascii="SansSerif" w:hAnsi="SansSerif" w:eastAsia="SansSerif" w:cs="SansSerif"/>
      <w:color w:val="000000"/>
      <w:sz w:val="20"/>
      <w:szCs w:val="22"/>
    </w:rPr>
  </w:style>
  <w:style w:type="paragraph" w:customStyle="1" w:styleId="21">
    <w:name w:val="Table 5_TH"/>
    <w:qFormat/>
    <w:uiPriority w:val="0"/>
    <w:pPr>
      <w:spacing w:line="240" w:lineRule="auto"/>
    </w:pPr>
    <w:rPr>
      <w:rFonts w:ascii="SansSerif" w:hAnsi="SansSerif" w:eastAsia="SansSerif" w:cs="SansSerif"/>
      <w:color w:val="000000"/>
      <w:sz w:val="20"/>
      <w:szCs w:val="22"/>
    </w:rPr>
  </w:style>
  <w:style w:type="paragraph" w:customStyle="1" w:styleId="22">
    <w:name w:val="Table 5_CH"/>
    <w:qFormat/>
    <w:uiPriority w:val="0"/>
    <w:pPr>
      <w:spacing w:line="240" w:lineRule="auto"/>
    </w:pPr>
    <w:rPr>
      <w:rFonts w:ascii="SansSerif" w:hAnsi="SansSerif" w:eastAsia="SansSerif" w:cs="SansSerif"/>
      <w:color w:val="000000"/>
      <w:sz w:val="20"/>
      <w:szCs w:val="22"/>
    </w:rPr>
  </w:style>
  <w:style w:type="paragraph" w:customStyle="1" w:styleId="23">
    <w:name w:val="Table 5_TD"/>
    <w:qFormat/>
    <w:uiPriority w:val="0"/>
    <w:pPr>
      <w:spacing w:line="240" w:lineRule="auto"/>
    </w:pPr>
    <w:rPr>
      <w:rFonts w:ascii="SansSerif" w:hAnsi="SansSerif" w:eastAsia="SansSerif" w:cs="SansSerif"/>
      <w:color w:val="000000"/>
      <w:sz w:val="20"/>
      <w:szCs w:val="22"/>
    </w:rPr>
  </w:style>
  <w:style w:type="paragraph" w:customStyle="1" w:styleId="24">
    <w:name w:val="Table 6_TH"/>
    <w:qFormat/>
    <w:uiPriority w:val="0"/>
    <w:pPr>
      <w:spacing w:line="240" w:lineRule="auto"/>
    </w:pPr>
    <w:rPr>
      <w:rFonts w:ascii="SansSerif" w:hAnsi="SansSerif" w:eastAsia="SansSerif" w:cs="SansSerif"/>
      <w:color w:val="000000"/>
      <w:sz w:val="20"/>
      <w:szCs w:val="22"/>
    </w:rPr>
  </w:style>
  <w:style w:type="paragraph" w:customStyle="1" w:styleId="25">
    <w:name w:val="Table 6_CH"/>
    <w:qFormat/>
    <w:uiPriority w:val="0"/>
    <w:pPr>
      <w:spacing w:line="240" w:lineRule="auto"/>
    </w:pPr>
    <w:rPr>
      <w:rFonts w:ascii="SansSerif" w:hAnsi="SansSerif" w:eastAsia="SansSerif" w:cs="SansSerif"/>
      <w:color w:val="000000"/>
      <w:sz w:val="20"/>
      <w:szCs w:val="22"/>
    </w:rPr>
  </w:style>
  <w:style w:type="paragraph" w:customStyle="1" w:styleId="26">
    <w:name w:val="Table 6_TD"/>
    <w:qFormat/>
    <w:uiPriority w:val="0"/>
    <w:pPr>
      <w:spacing w:line="240" w:lineRule="auto"/>
    </w:pPr>
    <w:rPr>
      <w:rFonts w:ascii="SansSerif" w:hAnsi="SansSerif" w:eastAsia="SansSerif" w:cs="SansSerif"/>
      <w:color w:val="000000"/>
      <w:sz w:val="20"/>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Office_11.8.2.10164_F1E327BC-269C-435d-A152-05C5408002CA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2024-07-17T13:23:24Z</dcterms:created>
  <dc:creator>cib</dc:creator>
  <cp:lastModifiedBy>袁晓伟</cp:lastModifiedBy>
  <dcterms:modified xsi:type="dcterms:W3CDTF">2024-07-17T13:24:25Z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2052-11.8.2.10164</vt:lpwstr>
  </property>
</Properties>
</file>