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兴业银行天天万利宝稳利6号X款净值型理财产品2024年第二季度报告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兴业银行天天万利宝稳利6号X款净值型理财产品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兴业银行天天万利宝稳利6号X款净值型理财产品2024年第二季度报告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兴业银行天天万利宝稳利6号X款净值型理财产品2024年第二季度报告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兴业银行天天万利宝稳利6号X款净值型理财产品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9K209280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Z7002021000218</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1,349,184,152.26份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稳利恒盈6号X款 9个月A </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9K20928A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1,207,782,655.98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稳利恒盈6号X款 9个月B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9K20928B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134,773,219.62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稳利恒盈6号X款 9个月C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9K20928C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5,782,358.23</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兴业银行天天万利宝稳利6号X款净值型理财产品2024年第二季度报告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稳利恒盈6号X款 9个月D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9K20928D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845,918.43</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9K20928A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9K20928B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9K20928C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9K20928D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2.97</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业绩比较基准（9K20928A）：2.55%--3.85%</w:t>
            </w:r>
            <w:r>
              <w:rPr>
                <w:rFonts w:ascii="宋体" w:hAnsi="宋体" w:eastAsia="宋体" w:cs="宋体"/>
                <w:color w:val="000000"/>
                <w:sz w:val="21"/>
              </w:rPr>
              <w:br w:type="textWrapping"/>
            </w:r>
            <w:r>
              <w:rPr>
                <w:rFonts w:ascii="宋体" w:hAnsi="宋体" w:eastAsia="宋体" w:cs="宋体"/>
                <w:color w:val="000000"/>
                <w:sz w:val="21"/>
              </w:rPr>
              <w:t>业绩比较基准（9K20928B）：2.60%--3.90%</w:t>
            </w:r>
            <w:r>
              <w:rPr>
                <w:rFonts w:ascii="宋体" w:hAnsi="宋体" w:eastAsia="宋体" w:cs="宋体"/>
                <w:color w:val="000000"/>
                <w:sz w:val="21"/>
              </w:rPr>
              <w:br w:type="textWrapping"/>
            </w:r>
            <w:r>
              <w:rPr>
                <w:rFonts w:ascii="宋体" w:hAnsi="宋体" w:eastAsia="宋体" w:cs="宋体"/>
                <w:color w:val="000000"/>
                <w:sz w:val="21"/>
              </w:rPr>
              <w:t>业绩比较基准（9K20928C）：2.45%--3.75%</w:t>
            </w:r>
            <w:r>
              <w:rPr>
                <w:rFonts w:ascii="宋体" w:hAnsi="宋体" w:eastAsia="宋体" w:cs="宋体"/>
                <w:color w:val="000000"/>
                <w:sz w:val="21"/>
              </w:rPr>
              <w:br w:type="textWrapping"/>
            </w:r>
            <w:r>
              <w:rPr>
                <w:rFonts w:ascii="宋体" w:hAnsi="宋体" w:eastAsia="宋体" w:cs="宋体"/>
                <w:color w:val="000000"/>
                <w:sz w:val="21"/>
              </w:rPr>
              <w:t>业绩比较基准（9K20928D）：2.55%--3.85%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（2）兴业银行天天万利宝稳利6号X款净值型理财产品成立于2021年09月02日，数据截止至2024年06月30日。过往业绩是由兴银理财有限责任公司计算并确认后所提供的数据。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30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65"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兴业银行天天万利宝稳利6号X款净值型理财产品2024年第二季度报告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jc w:val="center"/>
            </w:pPr>
          </w:p>
        </w:tc>
        <w:tc>
          <w:tcPr>
            <w:gridSpan w:val="2"/>
          </w:tcPr>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9K209280</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1.01878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1.09414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1,374,525,913.50</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3000" w:hRule="exact"/>
        </w:trPr>
        <w:tc>
          <w:p>
            <w:pPr>
              <w:pStyle w:val="4"/>
              <w:jc w:val="center"/>
            </w:pPr>
          </w:p>
        </w:tc>
        <w:tc>
          <w:tcPr>
            <w:gridSpan w:val="2"/>
          </w:tcPr>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9K20928A</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1.01875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1.09407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1,230,430,913.26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9K20928B</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1.06096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137,345,713.20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9K20928C</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1.05943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5,887,541.10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9K20928D</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1.01871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1.06042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861,745.94</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沈方威先生，中国人民大学金融学硕士，中央财经大学投资学学士，拥有4年以上的债券投资交易经验，曾任职于中国农业银行金融市场部交易员，2020年加入兴银理财，担任固定收益部投资经理，投资交易经验丰富，注重基本面和政策研究，关注资产性价比，追求稳定回报。</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9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兴业银行天天万利宝稳利6号X款净值型理财产品2024年第二季度报告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6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26.18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26.18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29.32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44.10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72.47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3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兴业银行天天万利宝稳利6号X款净值型理财产品2024年第二季度报告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昆仑金租同业借款20240510003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360,224,083.97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81,142,861.37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23CSFD219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50,905,806.16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20眉山发展PPN001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32,282,809.18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24沛发01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31,062,053.01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20泰安城乡MTN001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30,984,073.97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24南京新港PPN001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30,726,754.93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24浙兴合MTN001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30,692,452.19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23漳经01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21,601,584.11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21建房01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21,591,860.00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昆仑金租同业借款20240510003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昆仑金融租赁有限责任公司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兴业银行天天万利宝稳利6号X款净值型理财产品2024年第二季度报告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23台商02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24淮安新城MTN001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24兰花MTN001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24浙兴合MTN001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20泰安城乡MTN001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22连云金控MTN001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23绍兴滨海MTN001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兴业银行天天万利宝稳利6号X款净值型理财产品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37.5142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兴业银行天天万利宝稳利6号X款净值型理财产品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0.4981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兴业银行天天万利宝稳利6号X款净值型理财产品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9.7652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051010100101201090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兴业银行天天万利宝稳利6号X款净值型理财产品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6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050820C1"/>
    <w:rsid w:val="31182CBE"/>
    <w:rsid w:val="47C1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2024-07-17T13:47:14Z</dcterms:created>
  <dc:creator>cib</dc:creator>
  <cp:lastModifiedBy>李艺</cp:lastModifiedBy>
  <dcterms:modified xsi:type="dcterms:W3CDTF">2024-07-17T13:55:18Z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