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wAfter w:w="40" w:type="dxa"/>
          <w:trHeight w:val="0" w:hRule="atLeast"/>
        </w:trPr>
        <w:tc>
          <w:p>
            <w:pPr>
              <w:pStyle w:val="4"/>
            </w:pPr>
            <w:bookmarkStart w:id="0" w:name="JR_PAGE_ANCHOR_0_1"/>
            <w:bookmarkEnd w:id="0"/>
            <w:bookmarkStart w:id="8" w:name="_GoBack"/>
            <w:bookmarkEnd w:id="8"/>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兴银理财天天万利宝稳利8号D款净值型理财产品2024年第二季度报告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兴银理财天天万利宝稳利8号D款净值型理财产品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wAfter w:w="40" w:type="dxa"/>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兴银理财天天万利宝稳利8号D款净值型理财产品2024年第二季度报告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wAfter w:w="40" w:type="dxa"/>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兴银理财天天万利宝稳利8号D款净值型理财产品2024年第二季度报告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兴银理财天天万利宝稳利8号D款净值型理财产品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9K209540</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Z7002021000163</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586,913,079.93份</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4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稳利季季增利I款</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9K20954A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512,688,175.10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稳利季季增利I款B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9K20954B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8,913,773.96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稳利季季增利I款C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9K20954C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17,358,917.01</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兴银理财天天万利宝稳利8号D款净值型理财产品2024年第二季度报告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稳利季季增利I款D</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9K20954D</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47,952,213.86</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tcPr>
            <w:gridSpan w:val="2"/>
          </w:tcPr>
          <w:p>
            <w:pPr>
              <w:pStyle w:val="4"/>
            </w:pPr>
          </w:p>
        </w:tc>
        <w:tc>
          <w:p>
            <w:pPr>
              <w:pStyle w:val="4"/>
            </w:pPr>
          </w:p>
        </w:tc>
      </w:tr>
      <w:tr>
        <w:tblPrEx>
          <w:tblCellMar>
            <w:top w:w="0" w:type="dxa"/>
            <w:left w:w="10" w:type="dxa"/>
            <w:bottom w:w="0" w:type="dxa"/>
            <w:right w:w="10" w:type="dxa"/>
          </w:tblCellMar>
        </w:tblPrEx>
        <w:trPr>
          <w:trHeight w:val="8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3000" w:hRule="exact"/>
        </w:trPr>
        <w:tc>
          <w:p>
            <w:pPr>
              <w:pStyle w:val="4"/>
              <w:jc w:val="center"/>
            </w:pPr>
          </w:p>
        </w:tc>
        <w:tc>
          <w:p>
            <w:pPr>
              <w:pStyle w:val="4"/>
              <w:jc w:val="center"/>
            </w:pPr>
          </w:p>
        </w:tc>
        <w:tc>
          <w:p>
            <w:pPr>
              <w:pStyle w:val="4"/>
              <w:jc w:val="center"/>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gridCol w:w="1500"/>
              <w:gridCol w:w="1500"/>
              <w:gridCol w:w="1500"/>
              <w:gridCol w:w="1500"/>
              <w:gridCol w:w="1500"/>
              <w:gridCol w:w="15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2023年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2022年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2021年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2020年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2019年</w:t>
                        </w:r>
                        <w:r>
                          <w:rPr>
                            <w:rFonts w:ascii="宋体" w:hAnsi="宋体" w:eastAsia="宋体" w:cs="宋体"/>
                            <w:b/>
                            <w:color w:val="000000"/>
                            <w:sz w:val="21"/>
                          </w:rPr>
                          <w:br w:type="textWrapping"/>
                        </w:r>
                        <w:r>
                          <w:rPr>
                            <w:rFonts w:ascii="宋体" w:hAnsi="宋体" w:eastAsia="宋体" w:cs="宋体"/>
                            <w:b/>
                            <w:color w:val="000000"/>
                            <w:sz w:val="21"/>
                          </w:rPr>
                          <w:t>年化收益(%)</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9K20954A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3.06</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9K20954B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2.38</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9K20954C</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3.24</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9K20954D</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3.33</w:t>
                        </w:r>
                      </w:p>
                    </w:tc>
                  </w:tr>
                </w:tbl>
                <w:p>
                  <w:pPr>
                    <w:pStyle w:val="4"/>
                    <w:jc w:val="center"/>
                  </w:pPr>
                </w:p>
              </w:tc>
            </w:tr>
          </w:tbl>
          <w:p>
            <w:pPr>
              <w:pStyle w:val="4"/>
              <w:jc w:val="center"/>
            </w:pPr>
          </w:p>
        </w:tc>
        <w:tc>
          <w:p>
            <w:pPr>
              <w:pStyle w:val="4"/>
              <w:jc w:val="center"/>
            </w:pPr>
          </w:p>
        </w:tc>
      </w:tr>
      <w:tr>
        <w:tblPrEx>
          <w:tblCellMar>
            <w:top w:w="0" w:type="dxa"/>
            <w:left w:w="10" w:type="dxa"/>
            <w:bottom w:w="0" w:type="dxa"/>
            <w:right w:w="10" w:type="dxa"/>
          </w:tblCellMar>
        </w:tblPrEx>
        <w:trPr>
          <w:trHeight w:val="124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业绩比较基准（9K20954A）：人民银行活期存款利率</w:t>
            </w:r>
            <w:r>
              <w:rPr>
                <w:rFonts w:ascii="宋体" w:hAnsi="宋体" w:eastAsia="宋体" w:cs="宋体"/>
                <w:color w:val="000000"/>
                <w:sz w:val="21"/>
              </w:rPr>
              <w:br w:type="textWrapping"/>
            </w:r>
            <w:r>
              <w:rPr>
                <w:rFonts w:ascii="宋体" w:hAnsi="宋体" w:eastAsia="宋体" w:cs="宋体"/>
                <w:color w:val="000000"/>
                <w:sz w:val="21"/>
              </w:rPr>
              <w:t>业绩比较基准（9K20954B）：人民银行活期存款利率</w:t>
            </w:r>
            <w:r>
              <w:rPr>
                <w:rFonts w:ascii="宋体" w:hAnsi="宋体" w:eastAsia="宋体" w:cs="宋体"/>
                <w:color w:val="000000"/>
                <w:sz w:val="21"/>
              </w:rPr>
              <w:br w:type="textWrapping"/>
            </w:r>
            <w:r>
              <w:rPr>
                <w:rFonts w:ascii="宋体" w:hAnsi="宋体" w:eastAsia="宋体" w:cs="宋体"/>
                <w:color w:val="000000"/>
                <w:sz w:val="21"/>
              </w:rPr>
              <w:t>业绩比较基准（9K20954C）：人民银行活期存款利率</w:t>
            </w:r>
            <w:r>
              <w:rPr>
                <w:rFonts w:ascii="宋体" w:hAnsi="宋体" w:eastAsia="宋体" w:cs="宋体"/>
                <w:color w:val="000000"/>
                <w:sz w:val="21"/>
              </w:rPr>
              <w:br w:type="textWrapping"/>
            </w:r>
            <w:r>
              <w:rPr>
                <w:rFonts w:ascii="宋体" w:hAnsi="宋体" w:eastAsia="宋体" w:cs="宋体"/>
                <w:color w:val="000000"/>
                <w:sz w:val="21"/>
              </w:rPr>
              <w:t>业绩比较基准（9K20954D）：人民银行活期存款利率</w:t>
            </w:r>
          </w:p>
        </w:tc>
        <w:tc>
          <w:p>
            <w:pPr>
              <w:pStyle w:val="4"/>
            </w:pPr>
          </w:p>
        </w:tc>
      </w:tr>
      <w:tr>
        <w:tblPrEx>
          <w:tblCellMar>
            <w:top w:w="0" w:type="dxa"/>
            <w:left w:w="10" w:type="dxa"/>
            <w:bottom w:w="0" w:type="dxa"/>
            <w:right w:w="10" w:type="dxa"/>
          </w:tblCellMar>
        </w:tblPrEx>
        <w:trPr>
          <w:trHeight w:val="282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（2）兴银理财天天万利宝稳利8号D款净值型理财产品成立于2022年02月18日，数据截止至2024年06月30日。过往业绩是由兴银理财有限责任公司计算并确认后所提供的数据。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2975"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34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4" w:name="JR_PAGE_ANCHOR_0_5"/>
            <w:bookmarkEnd w:id="4"/>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兴银理财天天万利宝稳利8号D款净值型理财产品2024年第二季度报告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9K209540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1.07343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1.07343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630,012,258.78</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9K20954A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1.07388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1.07388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550,563,627.23</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9K20954B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1.05730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1.05730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9,424,516.60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9K20954C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1.07077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1.07077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18,587,434.67</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9K20954D</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1.07267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1.07267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51,436,680.28</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逄博先生，上海交通大学金融硕士，上海交通大学数学与应用数学学士，拥有6年以上债券投资交易经验。2018年加入兴业银行资产管理事业部，现任兴银理财固定收益投资经理，主要负责债券投资及固收产品投资管理工作。投资风格稳健，注重产品回撤控制，擅长灵活运用多种投资策略为产品捕捉收益机会，管理产品历史业绩表现优异。</w:t>
            </w:r>
          </w:p>
        </w:tc>
        <w:tc>
          <w:tcPr>
            <w:gridSpan w:val="4"/>
          </w:tcPr>
          <w:p>
            <w:pPr>
              <w:pStyle w:val="4"/>
            </w:pPr>
          </w:p>
        </w:tc>
        <w:tc>
          <w:p>
            <w:pPr>
              <w:pStyle w:val="4"/>
            </w:pPr>
          </w:p>
        </w:tc>
      </w:tr>
      <w:tr>
        <w:tblPrEx>
          <w:tblCellMar>
            <w:top w:w="0" w:type="dxa"/>
            <w:left w:w="10" w:type="dxa"/>
            <w:bottom w:w="0" w:type="dxa"/>
            <w:right w:w="10" w:type="dxa"/>
          </w:tblCellMar>
        </w:tblPrEx>
        <w:trPr>
          <w:trHeight w:val="7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56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一、2024年二季度投资策略与运作回顾</w:t>
            </w:r>
            <w:r>
              <w:rPr>
                <w:rFonts w:ascii="宋体" w:hAnsi="宋体" w:eastAsia="宋体" w:cs="宋体"/>
                <w:color w:val="000000"/>
                <w:sz w:val="21"/>
              </w:rPr>
              <w:br w:type="textWrapping"/>
            </w:r>
            <w:r>
              <w:rPr>
                <w:rFonts w:ascii="宋体" w:hAnsi="宋体" w:eastAsia="宋体" w:cs="宋体"/>
                <w:color w:val="000000"/>
                <w:sz w:val="21"/>
              </w:rPr>
              <w:t>　  2024年上半年，债券收益率总体走低，期间经历两次回调，“资产荒”逻辑贯穿演绎，利率债走出牛陡态势，信用债走出牛平态势。回顾上半年债市，大致可以划分为三个阶段：（1）年初至3月初，债市演绎快牛。货币政策稳健偏松，“资产荒”延续，叠加存款成本调降等因素，债牛行情快速演绎，同时权益市场带动风险偏好下降，久期策略成为市场主流，30年国债交投活跃度提升，长端利率债定价与MLF逐步脱锚。（2）3月初至4月下旬，债市震荡偏强。3月中上旬房地产政策陆续优化、基本面预期改善，同时市场对超长债供给及资金防空转有所忌惮，债市短暂调整，但随着政府债发行进度偏缓及4月后“禁止手工补息”提升债市配置力量，收益率震荡下行。（3）4月下旬至6月末，债市急跌后缓慢修复。4月中下旬债市下行过快、叠加超长债供给预期，4月末债市经历一轮快速下跌后转为震荡；5月中下旬随着超长债供给方案落地、房地产政策进一步明晰，在市场风险偏降低、非银资金充裕、部分银行下调存款利率等因素推动下，债市多做情绪修复，至季末基本修复至4月收益率低点。</w:t>
            </w:r>
            <w:r>
              <w:rPr>
                <w:rFonts w:ascii="宋体" w:hAnsi="宋体" w:eastAsia="宋体" w:cs="宋体"/>
                <w:color w:val="000000"/>
                <w:sz w:val="21"/>
              </w:rPr>
              <w:br w:type="textWrapping"/>
            </w:r>
            <w:r>
              <w:rPr>
                <w:rFonts w:ascii="宋体" w:hAnsi="宋体" w:eastAsia="宋体" w:cs="宋体"/>
                <w:color w:val="000000"/>
                <w:sz w:val="21"/>
              </w:rPr>
              <w:t>　  上半年来看，收益率方面1年NCD、1年国债、10年国债、30年国债、信用债3年AAA、3年AA+、5年AAA、5年AA+分别变动-45BP、-54BP、-35BP、-40BP、-58BP、-62BP、-67BP、-81BP</w:t>
            </w:r>
            <w:r>
              <w:rPr>
                <w:rFonts w:hint="eastAsia" w:ascii="宋体" w:hAnsi="宋体" w:eastAsia="宋体" w:cs="宋体"/>
                <w:color w:val="000000"/>
                <w:sz w:val="21"/>
                <w:lang w:eastAsia="zh-CN"/>
              </w:rPr>
              <w:t>，</w:t>
            </w:r>
            <w:r>
              <w:rPr>
                <w:rFonts w:ascii="宋体" w:hAnsi="宋体" w:eastAsia="宋体" w:cs="宋体"/>
                <w:color w:val="000000"/>
                <w:sz w:val="21"/>
              </w:rPr>
              <w:t>信用利差方面3年AAA、3年AA+、5年AAA、5年AA+分别变动-18BP、-21BP、-21BP、-35BP。</w:t>
            </w:r>
            <w:r>
              <w:rPr>
                <w:rFonts w:ascii="宋体" w:hAnsi="宋体" w:eastAsia="宋体" w:cs="宋体"/>
                <w:color w:val="000000"/>
                <w:sz w:val="21"/>
              </w:rPr>
              <w:br w:type="textWrapping"/>
            </w:r>
            <w:r>
              <w:rPr>
                <w:rFonts w:ascii="宋体" w:hAnsi="宋体" w:eastAsia="宋体" w:cs="宋体"/>
                <w:color w:val="000000"/>
                <w:sz w:val="21"/>
              </w:rPr>
              <w:t>　  产品运作上，1-2月适当提升产品久期，品种上以信用债及二永债为主；3月上旬至4月下旬以区间震荡思路为主，加强二永债及长久期利率债的波段操作并增配信用债基；4月下旬调整以来，逢高加仓二永债及中长久期利率债，并适度加仓利率债基及中短债基，在持续积极把握小波段交易机会的同时，平衡好组合的收益性和流动性。</w:t>
            </w:r>
            <w:r>
              <w:rPr>
                <w:rFonts w:ascii="宋体" w:hAnsi="宋体" w:eastAsia="宋体" w:cs="宋体"/>
                <w:color w:val="000000"/>
                <w:sz w:val="21"/>
              </w:rPr>
              <w:br w:type="textWrapping"/>
            </w:r>
            <w:r>
              <w:rPr>
                <w:rFonts w:ascii="宋体" w:hAnsi="宋体" w:eastAsia="宋体" w:cs="宋体"/>
                <w:color w:val="000000"/>
                <w:sz w:val="21"/>
              </w:rPr>
              <w:t>二、2024年三季度投资策略展望</w:t>
            </w:r>
            <w:r>
              <w:rPr>
                <w:rFonts w:ascii="宋体" w:hAnsi="宋体" w:eastAsia="宋体" w:cs="宋体"/>
                <w:color w:val="000000"/>
                <w:sz w:val="21"/>
              </w:rPr>
              <w:br w:type="textWrapping"/>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兴银理财天天万利宝稳利8号D款净值型理财产品2024年第二季度报告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9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债市预计维持区间震荡，重点关注交易性机会。基本面来看，经济仍处于弱修复状态，新旧动能切换的过程中，预计总量上有韧性、但融资需求持续偏弱；边际来看，6月房地产数据边际上有所改善，但持续性有待验证、趋势性改善的概率较小，财政政策预计较上半年更为积极、但总基调仍立足“固本培元”。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非银机构资产荒的核心逻辑仍然存在，策略上谨慎乐观但操作上可能较上半年更为保守。</w:t>
            </w:r>
            <w:r>
              <w:rPr>
                <w:rFonts w:ascii="宋体" w:hAnsi="宋体" w:eastAsia="宋体" w:cs="宋体"/>
                <w:color w:val="000000"/>
                <w:sz w:val="21"/>
              </w:rPr>
              <w:br w:type="textWrapping"/>
            </w:r>
            <w:r>
              <w:rPr>
                <w:rFonts w:ascii="宋体" w:hAnsi="宋体" w:eastAsia="宋体" w:cs="宋体"/>
                <w:color w:val="000000"/>
                <w:sz w:val="21"/>
              </w:rPr>
              <w:t>　  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8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tcPr>
            <w:gridSpan w:val="2"/>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0.37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同业存单</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32.96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66.67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w:t>
            </w:r>
            <w:r>
              <w:rPr>
                <w:rFonts w:hint="eastAsia" w:ascii="宋体" w:hAnsi="宋体" w:eastAsia="宋体" w:cs="宋体"/>
                <w:color w:val="000000"/>
                <w:sz w:val="21"/>
                <w:lang w:val="en-US" w:eastAsia="zh-CN"/>
              </w:rPr>
              <w:t xml:space="preserve"> </w:t>
            </w: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 为防范无法支付赎回款而产生的流动性风险，本理财产品管理人将合理安排所投资产期限，持续根据市场变化情况做好投资安排，尽可能降低产品流动性风险，有效保障理财持有人利益。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1240" w:hRule="exact"/>
        </w:trPr>
        <w:tc>
          <w:p>
            <w:pPr>
              <w:pStyle w:val="4"/>
            </w:pPr>
          </w:p>
        </w:tc>
        <w:tc>
          <w:p>
            <w:pPr>
              <w:pStyle w:val="4"/>
            </w:pPr>
          </w:p>
        </w:tc>
        <w:tc>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24南京银行CD116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59,585,961.20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9.46</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2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兴银理财天天万利宝稳利8号D款净值型理财产品2024年第二季度报告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540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24工商银行CD049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49,636,809.51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7.88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24杭州银行CD087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49,629,012.50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7.88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24重庆农村商行CD060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49,119,802.05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7.80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19青信01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45,965,655.00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7.30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23CSFD217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44,814,565.37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23联发03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31,012,804.93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4.92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21国联07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30,812,213.42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4.89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20株城05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21,479,960.82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3.41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19柯建01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21,014,113.70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3.34</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3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21晋焦煤MTN004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22连云金控MTN001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22财鑫投资MTN001(科创票据)</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23春汾科创PPN001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23华福C1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华福证券有限责任公司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兴银理财天天万利宝稳利8号D款净值型理财产品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20.0873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7" w:name="JR_PAGE_ANCHOR_0_8"/>
            <w:bookmarkEnd w:id="7"/>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兴银理财天天万利宝稳利8号D款净值型理财产品2024年第二季度报告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兴银理财天天万利宝稳利8号D款净值型理财产品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4.7113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8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051010100101323560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兴银理财天天万利宝稳利8号D款净值型理财产品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798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800"/>
  <w:compat>
    <w:useFELayout/>
    <w:splitPgBreakAndParaMark/>
    <w:compatSetting w:name="compatibilityMode" w:uri="http://schemas.microsoft.com/office/word" w:val="12"/>
  </w:compat>
  <w:rsids>
    <w:rsidRoot w:val="00000000"/>
    <w:rsid w:val="17706706"/>
    <w:rsid w:val="783C2F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2024-07-17T14:02:00Z</dcterms:created>
  <dc:creator>cib</dc:creator>
  <cp:lastModifiedBy>hansonghua</cp:lastModifiedBy>
  <dcterms:modified xsi:type="dcterms:W3CDTF">2024-07-18T14:00:01Z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