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tblInd w:w="0" w:type="dxa"/>
        <w:tblLayout w:type="fixed"/>
        <w:tblCellMar>
          <w:top w:w="0" w:type="dxa"/>
          <w:left w:w="10" w:type="dxa"/>
          <w:bottom w:w="0" w:type="dxa"/>
          <w:right w:w="10" w:type="dxa"/>
        </w:tblCellMar>
      </w:tblPr>
      <w:tblGrid>
        <w:gridCol w:w="1"/>
        <w:gridCol w:w="20"/>
        <w:gridCol w:w="20"/>
        <w:gridCol w:w="60"/>
        <w:gridCol w:w="100"/>
        <w:gridCol w:w="2820"/>
        <w:gridCol w:w="380"/>
        <w:gridCol w:w="740"/>
        <w:gridCol w:w="260"/>
        <w:gridCol w:w="1000"/>
        <w:gridCol w:w="1000"/>
        <w:gridCol w:w="1000"/>
        <w:gridCol w:w="2620"/>
        <w:gridCol w:w="480"/>
        <w:gridCol w:w="200"/>
        <w:gridCol w:w="1"/>
        <w:gridCol w:w="19"/>
        <w:gridCol w:w="1"/>
        <w:gridCol w:w="19"/>
        <w:gridCol w:w="1"/>
      </w:tblGrid>
      <w:tr>
        <w:tblPrEx>
          <w:tblCellMar>
            <w:top w:w="0" w:type="dxa"/>
            <w:left w:w="10" w:type="dxa"/>
            <w:bottom w:w="0" w:type="dxa"/>
            <w:right w:w="10" w:type="dxa"/>
          </w:tblCellMar>
        </w:tblPrEx>
        <w:trPr>
          <w:gridAfter w:val="4"/>
          <w:trHeight w:val="0" w:hRule="atLeast"/>
        </w:trPr>
        <w:tc>
          <w:p>
            <w:pPr>
              <w:pStyle w:val="4"/>
            </w:pPr>
            <w:bookmarkStart w:id="0" w:name="JR_PAGE_ANCHOR_0_1"/>
            <w:bookmarkEnd w:id="0"/>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96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3020" w:hRule="atLeast"/>
        </w:trPr>
        <w:tc>
          <w:p>
            <w:pPr>
              <w:pStyle w:val="4"/>
            </w:pPr>
          </w:p>
        </w:tc>
        <w:tc>
          <w:tcPr>
            <w:gridSpan w:val="14"/>
            <w:tcMar>
              <w:top w:w="0" w:type="dxa"/>
              <w:left w:w="0" w:type="dxa"/>
              <w:bottom w:w="0" w:type="dxa"/>
              <w:right w:w="0" w:type="dxa"/>
            </w:tcMar>
            <w:vAlign w:val="center"/>
          </w:tcPr>
          <w:p>
            <w:pPr>
              <w:spacing w:before="0" w:after="0" w:line="360" w:lineRule="auto"/>
              <w:jc w:val="center"/>
            </w:pPr>
            <w:r>
              <w:rPr>
                <w:rFonts w:ascii="宋体" w:hAnsi="宋体" w:eastAsia="宋体" w:cs="宋体"/>
                <w:b/>
                <w:color w:val="000000"/>
                <w:sz w:val="32"/>
              </w:rPr>
              <w:t>天天万利宝稳利2号净值型理财产品A款</w:t>
            </w:r>
            <w:r>
              <w:rPr>
                <w:rFonts w:ascii="宋体" w:hAnsi="宋体" w:eastAsia="宋体" w:cs="宋体"/>
                <w:b/>
                <w:color w:val="000000"/>
                <w:sz w:val="32"/>
              </w:rPr>
              <w:br w:type="textWrapping"/>
            </w:r>
            <w:r>
              <w:rPr>
                <w:rFonts w:ascii="宋体" w:hAnsi="宋体" w:eastAsia="宋体" w:cs="宋体"/>
                <w:b/>
                <w:color w:val="000000"/>
                <w:sz w:val="32"/>
              </w:rPr>
              <w:t>2024年第二季度报告</w:t>
            </w:r>
          </w:p>
        </w:tc>
        <w:tc>
          <w:p>
            <w:pPr>
              <w:pStyle w:val="4"/>
            </w:pPr>
          </w:p>
        </w:tc>
      </w:tr>
      <w:tr>
        <w:tblPrEx>
          <w:tblCellMar>
            <w:top w:w="0" w:type="dxa"/>
            <w:left w:w="10" w:type="dxa"/>
            <w:bottom w:w="0" w:type="dxa"/>
            <w:right w:w="10" w:type="dxa"/>
          </w:tblCellMar>
        </w:tblPrEx>
        <w:trPr>
          <w:gridAfter w:val="4"/>
          <w:trHeight w:val="660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理财产品管理人：兴银理财有限责任公司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理财产品托管人：兴业银行股份有限公司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500" w:hRule="atLeast"/>
        </w:trPr>
        <w:tc>
          <w:p>
            <w:pPr>
              <w:pStyle w:val="4"/>
            </w:pPr>
          </w:p>
        </w:tc>
        <w:tc>
          <w:tcPr>
            <w:gridSpan w:val="5"/>
          </w:tcPr>
          <w:p>
            <w:pPr>
              <w:pStyle w:val="4"/>
            </w:pPr>
          </w:p>
        </w:tc>
        <w:tc>
          <w:tcPr>
            <w:gridSpan w:val="7"/>
            <w:tcMar>
              <w:top w:w="0" w:type="dxa"/>
              <w:left w:w="0" w:type="dxa"/>
              <w:bottom w:w="0" w:type="dxa"/>
              <w:right w:w="0" w:type="dxa"/>
            </w:tcMar>
            <w:vAlign w:val="center"/>
          </w:tcPr>
          <w:p>
            <w:pPr>
              <w:jc w:val="left"/>
            </w:pPr>
            <w:r>
              <w:rPr>
                <w:rFonts w:ascii="宋体" w:hAnsi="宋体" w:eastAsia="宋体" w:cs="宋体"/>
                <w:color w:val="000000"/>
                <w:sz w:val="24"/>
              </w:rPr>
              <w:t>报告送出日期：2024年7月19日</w:t>
            </w: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2720" w:hRule="exact"/>
        </w:trPr>
        <w:tc>
          <w:p>
            <w:pPr>
              <w:pStyle w:val="4"/>
            </w:pPr>
          </w:p>
        </w:tc>
        <w:tc>
          <w:tcPr>
            <w:gridSpan w:val="5"/>
          </w:tcPr>
          <w:p>
            <w:pPr>
              <w:pStyle w:val="4"/>
            </w:pPr>
          </w:p>
        </w:tc>
        <w:tc>
          <w:p>
            <w:pPr>
              <w:pStyle w:val="4"/>
            </w:pPr>
          </w:p>
        </w:tc>
        <w:tc>
          <w:tcPr>
            <w:gridSpan w:val="3"/>
          </w:tcPr>
          <w:p>
            <w:pPr>
              <w:pStyle w:val="4"/>
            </w:pPr>
          </w:p>
        </w:tc>
        <w:tc>
          <w:tcPr>
            <w:gridSpan w:val="2"/>
          </w:tcPr>
          <w:p>
            <w:pPr>
              <w:pStyle w:val="4"/>
            </w:pP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5"/>
          </w:tcPr>
          <w:p>
            <w:pPr>
              <w:pStyle w:val="4"/>
            </w:pPr>
          </w:p>
        </w:tc>
        <w:tc>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1/</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4"/>
          <w:trHeight w:val="0" w:hRule="atLeast"/>
        </w:trPr>
        <w:tc>
          <w:p>
            <w:pPr>
              <w:pStyle w:val="4"/>
              <w:pageBreakBefore/>
            </w:pPr>
            <w:bookmarkStart w:id="1" w:name="JR_PAGE_ANCHOR_0_2"/>
            <w:bookmarkEnd w:id="1"/>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p>
            <w:pPr>
              <w:pStyle w:val="4"/>
            </w:pPr>
          </w:p>
        </w:tc>
      </w:tr>
      <w:tr>
        <w:tblPrEx>
          <w:tblCellMar>
            <w:top w:w="0" w:type="dxa"/>
            <w:left w:w="10" w:type="dxa"/>
            <w:bottom w:w="0" w:type="dxa"/>
            <w:right w:w="10" w:type="dxa"/>
          </w:tblCellMar>
        </w:tblPrEx>
        <w:trPr>
          <w:gridAfter w:val="4"/>
          <w:trHeight w:val="8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00" w:hRule="atLeast"/>
        </w:trPr>
        <w:tc>
          <w:p>
            <w:pPr>
              <w:pStyle w:val="4"/>
            </w:pPr>
          </w:p>
        </w:tc>
        <w:tc>
          <w:tcPr>
            <w:gridSpan w:val="3"/>
          </w:tcPr>
          <w:p>
            <w:pPr>
              <w:pStyle w:val="4"/>
            </w:pPr>
          </w:p>
        </w:tc>
        <w:tc>
          <w:tcPr>
            <w:gridSpan w:val="3"/>
          </w:tcPr>
          <w:p>
            <w:pPr>
              <w:pStyle w:val="4"/>
            </w:pPr>
          </w:p>
        </w:tc>
        <w:tc>
          <w:tcPr>
            <w:gridSpan w:val="2"/>
          </w:tcPr>
          <w:p>
            <w:pPr>
              <w:pStyle w:val="4"/>
            </w:pPr>
          </w:p>
        </w:tc>
        <w:tc>
          <w:tcPr>
            <w:gridSpan w:val="2"/>
            <w:tcMar>
              <w:top w:w="0" w:type="dxa"/>
              <w:left w:w="0" w:type="dxa"/>
              <w:bottom w:w="0" w:type="dxa"/>
              <w:right w:w="0" w:type="dxa"/>
            </w:tcMar>
            <w:vAlign w:val="top"/>
          </w:tcPr>
          <w:p>
            <w:pPr>
              <w:jc w:val="center"/>
            </w:pPr>
            <w:r>
              <w:rPr>
                <w:rFonts w:ascii="宋体" w:hAnsi="宋体" w:eastAsia="宋体" w:cs="宋体"/>
                <w:b/>
                <w:color w:val="000000"/>
                <w:sz w:val="30"/>
              </w:rPr>
              <w:t>目  录</w:t>
            </w: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4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6840" w:hRule="atLeast"/>
        </w:trPr>
        <w:tc>
          <w:p>
            <w:pPr>
              <w:pStyle w:val="4"/>
            </w:pPr>
          </w:p>
        </w:tc>
        <w:tc>
          <w:tcPr>
            <w:gridSpan w:val="3"/>
          </w:tcPr>
          <w:p>
            <w:pPr>
              <w:pStyle w:val="4"/>
            </w:pPr>
          </w:p>
        </w:tc>
        <w:tc>
          <w:tcPr>
            <w:gridSpan w:val="10"/>
            <w:tcMar>
              <w:top w:w="0" w:type="dxa"/>
              <w:left w:w="0" w:type="dxa"/>
              <w:bottom w:w="0" w:type="dxa"/>
              <w:right w:w="0" w:type="dxa"/>
            </w:tcMar>
            <w:vAlign w:val="top"/>
          </w:tcPr>
          <w:p>
            <w:pPr>
              <w:spacing w:before="0" w:after="0" w:line="336" w:lineRule="auto"/>
              <w:jc w:val="left"/>
            </w:pPr>
            <w:r>
              <w:rPr>
                <w:rFonts w:ascii="宋体" w:hAnsi="宋体" w:eastAsia="宋体" w:cs="宋体"/>
                <w:color w:val="000000"/>
                <w:sz w:val="21"/>
              </w:rPr>
              <w:t>§ 一. 重要提示</w:t>
            </w:r>
            <w:r>
              <w:rPr>
                <w:rFonts w:ascii="宋体" w:hAnsi="宋体" w:eastAsia="宋体" w:cs="宋体"/>
                <w:color w:val="000000"/>
                <w:sz w:val="21"/>
              </w:rPr>
              <w:br w:type="textWrapping"/>
            </w:r>
            <w:r>
              <w:rPr>
                <w:rFonts w:ascii="宋体" w:hAnsi="宋体" w:eastAsia="宋体" w:cs="宋体"/>
                <w:color w:val="000000"/>
                <w:sz w:val="21"/>
              </w:rPr>
              <w:t>§ 二. 产品基本信息</w:t>
            </w:r>
            <w:r>
              <w:rPr>
                <w:rFonts w:ascii="宋体" w:hAnsi="宋体" w:eastAsia="宋体" w:cs="宋体"/>
                <w:color w:val="000000"/>
                <w:sz w:val="21"/>
              </w:rPr>
              <w:br w:type="textWrapping"/>
            </w:r>
            <w:r>
              <w:rPr>
                <w:rFonts w:ascii="宋体" w:hAnsi="宋体" w:eastAsia="宋体" w:cs="宋体"/>
                <w:color w:val="000000"/>
                <w:sz w:val="21"/>
              </w:rPr>
              <w:t>§ 三. 产品收益表现</w:t>
            </w:r>
            <w:r>
              <w:rPr>
                <w:rFonts w:ascii="宋体" w:hAnsi="宋体" w:eastAsia="宋体" w:cs="宋体"/>
                <w:color w:val="000000"/>
                <w:sz w:val="21"/>
              </w:rPr>
              <w:br w:type="textWrapping"/>
            </w:r>
            <w:r>
              <w:rPr>
                <w:rFonts w:ascii="宋体" w:hAnsi="宋体" w:eastAsia="宋体" w:cs="宋体"/>
                <w:color w:val="000000"/>
                <w:sz w:val="21"/>
              </w:rPr>
              <w:t>§ 四. 产品投资经理简介</w:t>
            </w:r>
            <w:r>
              <w:rPr>
                <w:rFonts w:ascii="宋体" w:hAnsi="宋体" w:eastAsia="宋体" w:cs="宋体"/>
                <w:color w:val="000000"/>
                <w:sz w:val="21"/>
              </w:rPr>
              <w:br w:type="textWrapping"/>
            </w:r>
            <w:r>
              <w:rPr>
                <w:rFonts w:ascii="宋体" w:hAnsi="宋体" w:eastAsia="宋体" w:cs="宋体"/>
                <w:color w:val="000000"/>
                <w:sz w:val="21"/>
              </w:rPr>
              <w:t>§ 五. 报告期内产品投资策略</w:t>
            </w:r>
            <w:r>
              <w:rPr>
                <w:rFonts w:ascii="宋体" w:hAnsi="宋体" w:eastAsia="宋体" w:cs="宋体"/>
                <w:color w:val="000000"/>
                <w:sz w:val="21"/>
              </w:rPr>
              <w:br w:type="textWrapping"/>
            </w:r>
            <w:r>
              <w:rPr>
                <w:rFonts w:ascii="宋体" w:hAnsi="宋体" w:eastAsia="宋体" w:cs="宋体"/>
                <w:color w:val="000000"/>
                <w:sz w:val="21"/>
              </w:rPr>
              <w:t>§ 六. 投资组合情况</w:t>
            </w:r>
            <w:r>
              <w:rPr>
                <w:rFonts w:ascii="宋体" w:hAnsi="宋体" w:eastAsia="宋体" w:cs="宋体"/>
                <w:color w:val="000000"/>
                <w:sz w:val="21"/>
              </w:rPr>
              <w:br w:type="textWrapping"/>
            </w:r>
            <w:r>
              <w:rPr>
                <w:rFonts w:ascii="宋体" w:hAnsi="宋体" w:eastAsia="宋体" w:cs="宋体"/>
                <w:color w:val="000000"/>
                <w:sz w:val="21"/>
              </w:rPr>
              <w:t xml:space="preserve">     1. 报告期末资产组合情况</w:t>
            </w:r>
            <w:r>
              <w:rPr>
                <w:rFonts w:ascii="宋体" w:hAnsi="宋体" w:eastAsia="宋体" w:cs="宋体"/>
                <w:color w:val="000000"/>
                <w:sz w:val="21"/>
              </w:rPr>
              <w:br w:type="textWrapping"/>
            </w:r>
            <w:r>
              <w:rPr>
                <w:rFonts w:ascii="宋体" w:hAnsi="宋体" w:eastAsia="宋体" w:cs="宋体"/>
                <w:color w:val="000000"/>
                <w:sz w:val="21"/>
              </w:rPr>
              <w:t xml:space="preserve">     2. 报告期末杠杆融资情况</w:t>
            </w:r>
            <w:r>
              <w:rPr>
                <w:rFonts w:ascii="宋体" w:hAnsi="宋体" w:eastAsia="宋体" w:cs="宋体"/>
                <w:color w:val="000000"/>
                <w:sz w:val="21"/>
              </w:rPr>
              <w:br w:type="textWrapping"/>
            </w:r>
            <w:r>
              <w:rPr>
                <w:rFonts w:ascii="宋体" w:hAnsi="宋体" w:eastAsia="宋体" w:cs="宋体"/>
                <w:color w:val="000000"/>
                <w:sz w:val="21"/>
              </w:rPr>
              <w:t xml:space="preserve">     3. 投资组合的流动性风险分析</w:t>
            </w:r>
            <w:r>
              <w:rPr>
                <w:rFonts w:ascii="宋体" w:hAnsi="宋体" w:eastAsia="宋体" w:cs="宋体"/>
                <w:color w:val="000000"/>
                <w:sz w:val="21"/>
              </w:rPr>
              <w:br w:type="textWrapping"/>
            </w:r>
            <w:r>
              <w:rPr>
                <w:rFonts w:ascii="宋体" w:hAnsi="宋体" w:eastAsia="宋体" w:cs="宋体"/>
                <w:color w:val="000000"/>
                <w:sz w:val="21"/>
              </w:rPr>
              <w:t xml:space="preserve">     4. 报告期末资产持仓前十基本信息</w:t>
            </w:r>
            <w:r>
              <w:rPr>
                <w:rFonts w:ascii="宋体" w:hAnsi="宋体" w:eastAsia="宋体" w:cs="宋体"/>
                <w:color w:val="000000"/>
                <w:sz w:val="21"/>
              </w:rPr>
              <w:br w:type="textWrapping"/>
            </w:r>
            <w:r>
              <w:rPr>
                <w:rFonts w:ascii="宋体" w:hAnsi="宋体" w:eastAsia="宋体" w:cs="宋体"/>
                <w:color w:val="000000"/>
                <w:sz w:val="21"/>
              </w:rPr>
              <w:t xml:space="preserve">     5. 报告期末持有非标准化债权类资产情况</w:t>
            </w:r>
            <w:r>
              <w:rPr>
                <w:rFonts w:ascii="宋体" w:hAnsi="宋体" w:eastAsia="宋体" w:cs="宋体"/>
                <w:color w:val="000000"/>
                <w:sz w:val="21"/>
              </w:rPr>
              <w:br w:type="textWrapping"/>
            </w:r>
            <w:r>
              <w:rPr>
                <w:rFonts w:ascii="宋体" w:hAnsi="宋体" w:eastAsia="宋体" w:cs="宋体"/>
                <w:color w:val="000000"/>
                <w:sz w:val="21"/>
              </w:rPr>
              <w:t xml:space="preserve">     6. 报告期间关联交易情况</w:t>
            </w:r>
            <w:r>
              <w:rPr>
                <w:rFonts w:ascii="宋体" w:hAnsi="宋体" w:eastAsia="宋体" w:cs="宋体"/>
                <w:color w:val="000000"/>
                <w:sz w:val="21"/>
              </w:rPr>
              <w:br w:type="textWrapping"/>
            </w:r>
            <w:r>
              <w:rPr>
                <w:rFonts w:ascii="宋体" w:hAnsi="宋体" w:eastAsia="宋体" w:cs="宋体"/>
                <w:color w:val="000000"/>
                <w:sz w:val="21"/>
              </w:rPr>
              <w:t xml:space="preserve">     7. 投资账户信息</w:t>
            </w:r>
          </w:p>
        </w:tc>
        <w:tc>
          <w:p>
            <w:pPr>
              <w:pStyle w:val="4"/>
            </w:pPr>
          </w:p>
        </w:tc>
        <w:tc>
          <w:p>
            <w:pPr>
              <w:pStyle w:val="4"/>
            </w:pPr>
          </w:p>
        </w:tc>
      </w:tr>
      <w:tr>
        <w:tblPrEx>
          <w:tblCellMar>
            <w:top w:w="0" w:type="dxa"/>
            <w:left w:w="10" w:type="dxa"/>
            <w:bottom w:w="0" w:type="dxa"/>
            <w:right w:w="10" w:type="dxa"/>
          </w:tblCellMar>
        </w:tblPrEx>
        <w:trPr>
          <w:gridAfter w:val="4"/>
          <w:trHeight w:val="6080" w:hRule="exact"/>
        </w:trPr>
        <w:tc>
          <w:p>
            <w:pPr>
              <w:pStyle w:val="4"/>
            </w:pPr>
          </w:p>
        </w:tc>
        <w:tc>
          <w:tcPr>
            <w:gridSpan w:val="3"/>
          </w:tcPr>
          <w:p>
            <w:pPr>
              <w:pStyle w:val="4"/>
            </w:pPr>
          </w:p>
        </w:tc>
        <w:tc>
          <w:tcPr>
            <w:gridSpan w:val="3"/>
          </w:tcPr>
          <w:p>
            <w:pPr>
              <w:pStyle w:val="4"/>
            </w:pPr>
          </w:p>
        </w:tc>
        <w:tc>
          <w:tcPr>
            <w:gridSpan w:val="2"/>
          </w:tcPr>
          <w:p>
            <w:pPr>
              <w:pStyle w:val="4"/>
            </w:pPr>
          </w:p>
        </w:tc>
        <w:tc>
          <w:p>
            <w:pPr>
              <w:pStyle w:val="4"/>
            </w:pPr>
          </w:p>
        </w:tc>
        <w:tc>
          <w:p>
            <w:pPr>
              <w:pStyle w:val="4"/>
            </w:pPr>
          </w:p>
        </w:tc>
        <w:tc>
          <w:p>
            <w:pPr>
              <w:pStyle w:val="4"/>
            </w:pP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4"/>
          <w:trHeight w:val="400" w:hRule="atLeast"/>
        </w:trPr>
        <w:tc>
          <w:p>
            <w:pPr>
              <w:pStyle w:val="4"/>
            </w:pPr>
          </w:p>
        </w:tc>
        <w:tc>
          <w:tcPr>
            <w:gridSpan w:val="3"/>
          </w:tcPr>
          <w:p>
            <w:pPr>
              <w:pStyle w:val="4"/>
            </w:pPr>
          </w:p>
        </w:tc>
        <w:tc>
          <w:tcPr>
            <w:gridSpan w:val="3"/>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2/</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2"/>
          </w:tcPr>
          <w:p>
            <w:pPr>
              <w:pStyle w:val="4"/>
            </w:pPr>
          </w:p>
        </w:tc>
        <w:tc>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2" w:name="JR_PAGE_ANCHOR_0_3"/>
            <w:bookmarkEnd w:id="2"/>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一. 重要提示</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3080" w:hRule="atLeast"/>
        </w:trPr>
        <w:tc>
          <w:p>
            <w:pPr>
              <w:pStyle w:val="4"/>
            </w:pPr>
          </w:p>
        </w:tc>
        <w:tc>
          <w:tcPr>
            <w:gridSpan w:val="14"/>
            <w:tcBorders>
              <w:top w:val="dotted" w:color="000000" w:sz="8" w:space="0"/>
              <w:left w:val="dotted" w:color="000000" w:sz="8" w:space="0"/>
              <w:bottom w:val="dotted" w:color="000000" w:sz="8" w:space="0"/>
              <w:right w:val="dotted" w:color="000000" w:sz="8" w:space="0"/>
            </w:tcBorders>
            <w:tcMar>
              <w:top w:w="0" w:type="dxa"/>
              <w:left w:w="0" w:type="dxa"/>
              <w:bottom w:w="0" w:type="dxa"/>
              <w:right w:w="0" w:type="dxa"/>
            </w:tcMar>
            <w:vAlign w:val="top"/>
          </w:tcPr>
          <w:p>
            <w:pPr>
              <w:spacing w:before="0" w:after="0" w:line="360" w:lineRule="auto"/>
              <w:jc w:val="left"/>
            </w:pPr>
            <w:r>
              <w:rPr>
                <w:rFonts w:ascii="仿宋" w:hAnsi="仿宋" w:eastAsia="仿宋" w:cs="仿宋"/>
                <w:color w:val="000000"/>
                <w:sz w:val="21"/>
              </w:rPr>
              <w:br w:type="textWrapping"/>
            </w:r>
            <w:r>
              <w:rPr>
                <w:rFonts w:ascii="仿宋" w:hAnsi="仿宋" w:eastAsia="仿宋" w:cs="仿宋"/>
                <w:color w:val="000000"/>
                <w:sz w:val="21"/>
              </w:rPr>
              <w:t xml:space="preserve"> 1. 温馨提醒：理财非存款，产品有风险，投资需谨慎！</w:t>
            </w:r>
            <w:r>
              <w:rPr>
                <w:rFonts w:ascii="仿宋" w:hAnsi="仿宋" w:eastAsia="仿宋" w:cs="仿宋"/>
                <w:color w:val="000000"/>
                <w:sz w:val="21"/>
              </w:rPr>
              <w:br w:type="textWrapping"/>
            </w:r>
            <w:r>
              <w:rPr>
                <w:rFonts w:ascii="仿宋" w:hAnsi="仿宋" w:eastAsia="仿宋" w:cs="仿宋"/>
                <w:color w:val="000000"/>
                <w:sz w:val="21"/>
              </w:rPr>
              <w:t xml:space="preserve"> 2. 理财信息可供参考，详情请咨询理财经理，或在“中国理财网（www.chinawealth.com.cn）”查询该产品相关信息。</w:t>
            </w:r>
            <w:r>
              <w:rPr>
                <w:rFonts w:ascii="仿宋" w:hAnsi="仿宋" w:eastAsia="仿宋" w:cs="仿宋"/>
                <w:color w:val="000000"/>
                <w:sz w:val="21"/>
              </w:rPr>
              <w:br w:type="textWrapping"/>
            </w:r>
            <w:r>
              <w:rPr>
                <w:rFonts w:ascii="仿宋" w:hAnsi="仿宋" w:eastAsia="仿宋" w:cs="仿宋"/>
                <w:color w:val="000000"/>
                <w:sz w:val="21"/>
              </w:rPr>
              <w:t xml:space="preserve"> 3. 兴银理财有限责任公司保留对所有文字说明的最终解释权。</w:t>
            </w:r>
            <w:r>
              <w:rPr>
                <w:rFonts w:ascii="仿宋" w:hAnsi="仿宋" w:eastAsia="仿宋" w:cs="仿宋"/>
                <w:color w:val="000000"/>
                <w:sz w:val="21"/>
              </w:rPr>
              <w:br w:type="textWrapping"/>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二. 产品基本情况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产品名称</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天天万利宝稳利2号净值型理财产品A款</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产品代码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9K218021</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全国银行业理财信息登记系统登记编码</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Z7002020000018</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产品运作方式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开放式</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产品募集方式</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公募</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投资类型</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固定收益类</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报告期末产品份额总额</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4,831,637,793.59份</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投资币种</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人民币</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风险等级</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jc w:val="left"/>
            </w:pPr>
            <w:r>
              <w:rPr>
                <w:rFonts w:ascii="宋体" w:hAnsi="宋体" w:eastAsia="宋体" w:cs="宋体"/>
                <w:color w:val="000000"/>
                <w:sz w:val="21"/>
              </w:rPr>
              <w:t>R2</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产品管理人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ind w:firstLine="200"/>
            </w:pPr>
            <w:r>
              <w:rPr>
                <w:rFonts w:ascii="宋体" w:hAnsi="宋体" w:eastAsia="宋体" w:cs="宋体"/>
                <w:color w:val="000000"/>
                <w:sz w:val="21"/>
              </w:rPr>
              <w:t>兴银理财有限责任公司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00" w:hRule="atLeast"/>
        </w:trPr>
        <w:tc>
          <w:p>
            <w:pPr>
              <w:pStyle w:val="4"/>
            </w:pP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r>
              <w:rPr>
                <w:rFonts w:ascii="宋体" w:hAnsi="宋体" w:eastAsia="宋体" w:cs="宋体"/>
                <w:color w:val="000000"/>
                <w:sz w:val="21"/>
              </w:rPr>
              <w:t>产品托管人</w:t>
            </w:r>
          </w:p>
        </w:tc>
        <w:tc>
          <w:tcPr>
            <w:gridSpan w:val="7"/>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center"/>
          </w:tcPr>
          <w:p>
            <w:pPr>
              <w:spacing w:before="0" w:after="0" w:line="240" w:lineRule="auto"/>
              <w:ind w:firstLine="200"/>
            </w:pPr>
            <w:r>
              <w:rPr>
                <w:rFonts w:ascii="宋体" w:hAnsi="宋体" w:eastAsia="宋体" w:cs="宋体"/>
                <w:color w:val="000000"/>
                <w:sz w:val="21"/>
              </w:rPr>
              <w:t>兴业银行股份有限公司</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1800" w:hRule="exact"/>
        </w:trPr>
        <w:tc>
          <w:p>
            <w:pPr>
              <w:pStyle w:val="4"/>
            </w:pPr>
          </w:p>
        </w:tc>
        <w:tc>
          <w:p>
            <w:pPr>
              <w:pStyle w:val="4"/>
            </w:pPr>
          </w:p>
        </w:tc>
        <w:tc>
          <w:tcPr>
            <w:gridSpan w:val="15"/>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gridCol w:w="3600"/>
              <w:gridCol w:w="4100"/>
            </w:tblGrid>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2980"/>
                    <w:gridCol w:w="2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0"/>
                          <w:jc w:val="center"/>
                        </w:pPr>
                        <w:r>
                          <w:rPr>
                            <w:rFonts w:ascii="宋体" w:hAnsi="宋体" w:eastAsia="宋体" w:cs="宋体"/>
                            <w:color w:val="000000"/>
                            <w:sz w:val="21"/>
                          </w:rPr>
                          <w:t>下属子份额的销售名称</w:t>
                        </w:r>
                      </w:p>
                    </w:tc>
                    <w:tc>
                      <w:p>
                        <w:pPr>
                          <w:pStyle w:val="4"/>
                        </w:pPr>
                      </w:p>
                    </w:tc>
                  </w:tr>
                </w:tbl>
                <w:p>
                  <w:pPr>
                    <w:pStyle w:val="4"/>
                  </w:pPr>
                </w:p>
              </w:tc>
              <w:tc>
                <w:tcPr>
                  <w:tcBorders>
                    <w:top w:val="single" w:color="000000" w:sz="2" w:space="0"/>
                    <w:left w:val="single" w:color="000000" w:sz="2" w:space="0"/>
                    <w:bottom w:val="single" w:color="000000" w:sz="2" w:space="0"/>
                    <w:right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ind w:firstLine="200"/>
                          <w:jc w:val="center"/>
                        </w:pPr>
                        <w:r>
                          <w:rPr>
                            <w:rFonts w:ascii="宋体" w:hAnsi="宋体" w:eastAsia="宋体" w:cs="宋体"/>
                            <w:color w:val="000000"/>
                            <w:sz w:val="21"/>
                          </w:rPr>
                          <w:t>下属子份额的销售代码</w:t>
                        </w:r>
                      </w:p>
                    </w:tc>
                  </w:tr>
                </w:tbl>
                <w:p>
                  <w:pPr>
                    <w:pStyle w:val="4"/>
                  </w:pPr>
                </w:p>
              </w:tc>
              <w:tc>
                <w:tcPr>
                  <w:tcBorders>
                    <w:top w:val="single" w:color="000000" w:sz="2" w:space="0"/>
                    <w:left w:val="single" w:color="000000" w:sz="2" w:space="0"/>
                    <w:bottom w:val="single" w:color="000000" w:sz="2"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80" w:hRule="atLeast"/>
                    </w:trPr>
                    <w:tc>
                      <w:tcPr>
                        <w:tcMar>
                          <w:top w:w="0" w:type="dxa"/>
                          <w:left w:w="0" w:type="dxa"/>
                          <w:bottom w:w="0" w:type="dxa"/>
                          <w:right w:w="20" w:type="dxa"/>
                        </w:tcMar>
                        <w:vAlign w:val="center"/>
                      </w:tcPr>
                      <w:p>
                        <w:pPr>
                          <w:ind w:firstLine="200"/>
                          <w:jc w:val="center"/>
                        </w:pPr>
                        <w:r>
                          <w:rPr>
                            <w:rFonts w:ascii="宋体" w:hAnsi="宋体" w:eastAsia="宋体" w:cs="宋体"/>
                            <w:color w:val="000000"/>
                            <w:sz w:val="21"/>
                          </w:rPr>
                          <w:t>报告期末下属子份额的产品份额总数</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稳利恒盈A 6个月</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9K218021（适用【A】份额）</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4,831,194,991.48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0"/>
                          <w:jc w:val="center"/>
                        </w:pPr>
                        <w:r>
                          <w:rPr>
                            <w:rFonts w:ascii="宋体" w:hAnsi="宋体" w:eastAsia="宋体" w:cs="宋体"/>
                            <w:color w:val="000000"/>
                            <w:sz w:val="21"/>
                          </w:rPr>
                          <w:t>稳利恒盈A 6个月B</w:t>
                        </w:r>
                      </w:p>
                    </w:tc>
                  </w:tr>
                </w:tbl>
                <w:p>
                  <w:pPr>
                    <w:pStyle w:val="4"/>
                  </w:pPr>
                </w:p>
              </w:tc>
              <w:tc>
                <w:tcPr>
                  <w:tcBorders>
                    <w:top w:val="single" w:color="000000" w:sz="2" w:space="0"/>
                    <w:left w:val="single" w:color="000000" w:sz="2" w:space="0"/>
                    <w:bottom w:val="single" w:color="000000" w:sz="2" w:space="0"/>
                    <w:right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9K218121</w:t>
                        </w:r>
                      </w:p>
                    </w:tc>
                  </w:tr>
                </w:tbl>
                <w:p>
                  <w:pPr>
                    <w:pStyle w:val="4"/>
                  </w:pPr>
                </w:p>
              </w:tc>
              <w:tc>
                <w:tcPr>
                  <w:tcBorders>
                    <w:top w:val="single" w:color="000000" w:sz="2" w:space="0"/>
                    <w:left w:val="single" w:color="000000" w:sz="2" w:space="0"/>
                    <w:bottom w:val="single" w:color="000000" w:sz="2" w:space="0"/>
                  </w:tcBorders>
                  <w:shd w:val="clear" w:color="auto" w:fill="FFFFFF"/>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4100"/>
                  </w:tblGrid>
                  <w:tr>
                    <w:tblPrEx>
                      <w:tblCellMar>
                        <w:top w:w="0" w:type="dxa"/>
                        <w:left w:w="10" w:type="dxa"/>
                        <w:bottom w:w="0" w:type="dxa"/>
                        <w:right w:w="10" w:type="dxa"/>
                      </w:tblCellMar>
                    </w:tblPrEx>
                    <w:trPr>
                      <w:trHeight w:val="560" w:hRule="atLeast"/>
                    </w:trPr>
                    <w:tc>
                      <w:tcPr>
                        <w:tcMar>
                          <w:top w:w="0" w:type="dxa"/>
                          <w:left w:w="0" w:type="dxa"/>
                          <w:bottom w:w="20" w:type="dxa"/>
                          <w:right w:w="0" w:type="dxa"/>
                        </w:tcMar>
                        <w:vAlign w:val="center"/>
                      </w:tcPr>
                      <w:p>
                        <w:pPr>
                          <w:ind w:firstLine="200"/>
                          <w:jc w:val="center"/>
                        </w:pPr>
                        <w:r>
                          <w:rPr>
                            <w:rFonts w:ascii="宋体" w:hAnsi="宋体" w:eastAsia="宋体" w:cs="宋体"/>
                            <w:color w:val="000000"/>
                            <w:sz w:val="21"/>
                          </w:rPr>
                          <w:t>442,802.11</w:t>
                        </w:r>
                      </w:p>
                    </w:tc>
                  </w:tr>
                </w:tbl>
                <w:p>
                  <w:pPr>
                    <w:pStyle w:val="4"/>
                  </w:pPr>
                </w:p>
              </w:tc>
            </w:tr>
          </w:tbl>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p>
            <w:pPr>
              <w:pStyle w:val="4"/>
            </w:pPr>
          </w:p>
        </w:tc>
        <w:tc>
          <w:tcPr>
            <w:gridSpan w:val="15"/>
            <w:tcMar>
              <w:top w:w="0" w:type="dxa"/>
              <w:left w:w="0" w:type="dxa"/>
              <w:bottom w:w="0" w:type="dxa"/>
              <w:right w:w="0" w:type="dxa"/>
            </w:tcMar>
            <w:vAlign w:val="top"/>
          </w:tcPr>
          <w:p>
            <w:r>
              <w:rPr>
                <w:rFonts w:ascii="宋体" w:hAnsi="宋体" w:eastAsia="宋体" w:cs="宋体"/>
                <w:color w:val="000000"/>
                <w:sz w:val="16"/>
              </w:rPr>
              <w:t>注:本产品的业绩比较基准或业绩报酬计提基准等类似表述不是预期收益率，不代表产品的未来表现和实际收益，不构成对产品收益的承诺，仅供投资者进行投资决定时参考。</w:t>
            </w:r>
          </w:p>
        </w:tc>
        <w:tc>
          <w:p>
            <w:pPr>
              <w:pStyle w:val="4"/>
            </w:pPr>
          </w:p>
        </w:tc>
      </w:tr>
      <w:tr>
        <w:tblPrEx>
          <w:tblCellMar>
            <w:top w:w="0" w:type="dxa"/>
            <w:left w:w="10" w:type="dxa"/>
            <w:bottom w:w="0" w:type="dxa"/>
            <w:right w:w="10" w:type="dxa"/>
          </w:tblCellMar>
        </w:tblPrEx>
        <w:trPr>
          <w:gridAfter w:val="2"/>
          <w:trHeight w:val="620" w:hRule="exact"/>
        </w:trPr>
        <w:tc>
          <w:p>
            <w:pPr>
              <w:pStyle w:val="4"/>
            </w:pPr>
          </w:p>
        </w:tc>
        <w:tc>
          <w:p>
            <w:pPr>
              <w:pStyle w:val="4"/>
            </w:pPr>
          </w:p>
        </w:tc>
        <w:tc>
          <w:tcPr>
            <w:gridSpan w:val="5"/>
          </w:tcPr>
          <w:p>
            <w:pPr>
              <w:pStyle w:val="4"/>
            </w:pPr>
          </w:p>
        </w:tc>
        <w:tc>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3/</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3" w:name="JR_PAGE_ANCHOR_0_4"/>
            <w:bookmarkEnd w:id="3"/>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三. 产品收益表现</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报告期末，产品过往业绩如下：</w:t>
            </w: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gridCol w:w="1500"/>
              <w:gridCol w:w="1500"/>
              <w:gridCol w:w="1500"/>
              <w:gridCol w:w="1500"/>
              <w:gridCol w:w="1500"/>
              <w:gridCol w:w="15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产品销售代码</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2023年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2022年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2021年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2020年</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2019年</w:t>
                        </w:r>
                        <w:r>
                          <w:rPr>
                            <w:rFonts w:ascii="宋体" w:hAnsi="宋体" w:eastAsia="宋体" w:cs="宋体"/>
                            <w:b/>
                            <w:color w:val="000000"/>
                            <w:sz w:val="21"/>
                          </w:rPr>
                          <w:br w:type="textWrapping"/>
                        </w:r>
                        <w:r>
                          <w:rPr>
                            <w:rFonts w:ascii="宋体" w:hAnsi="宋体" w:eastAsia="宋体" w:cs="宋体"/>
                            <w:b/>
                            <w:color w:val="000000"/>
                            <w:sz w:val="21"/>
                          </w:rPr>
                          <w:t>年化收益(%)</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成立至今</w:t>
                        </w:r>
                        <w:r>
                          <w:rPr>
                            <w:rFonts w:ascii="宋体" w:hAnsi="宋体" w:eastAsia="宋体" w:cs="宋体"/>
                            <w:b/>
                            <w:color w:val="000000"/>
                            <w:sz w:val="21"/>
                          </w:rPr>
                          <w:br w:type="textWrapping"/>
                        </w:r>
                        <w:r>
                          <w:rPr>
                            <w:rFonts w:ascii="宋体" w:hAnsi="宋体" w:eastAsia="宋体" w:cs="宋体"/>
                            <w:b/>
                            <w:color w:val="000000"/>
                            <w:sz w:val="21"/>
                          </w:rPr>
                          <w:t>年化收益率(%)</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9K218021（适用【A】份额）</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3.50</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3.74</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4.28</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3.82</w:t>
                        </w:r>
                      </w:p>
                    </w:tc>
                  </w:tr>
                </w:tbl>
                <w:p>
                  <w:pPr>
                    <w:pStyle w:val="4"/>
                    <w:jc w:val="center"/>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9K218121</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w:t>
                        </w:r>
                      </w:p>
                    </w:tc>
                  </w:tr>
                </w:tbl>
                <w:p>
                  <w:pPr>
                    <w:pStyle w:val="4"/>
                    <w:jc w:val="center"/>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2.66</w:t>
                        </w:r>
                      </w:p>
                    </w:tc>
                  </w:tr>
                </w:tbl>
                <w:p>
                  <w:pPr>
                    <w:pStyle w:val="4"/>
                    <w:jc w:val="center"/>
                  </w:pPr>
                </w:p>
              </w:tc>
            </w:tr>
          </w:tbl>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spacing w:before="0" w:after="0" w:line="320" w:lineRule="exact"/>
              <w:ind w:left="40" w:right="40"/>
              <w:jc w:val="left"/>
            </w:pPr>
            <w:r>
              <w:rPr>
                <w:rFonts w:ascii="宋体" w:hAnsi="宋体" w:eastAsia="宋体" w:cs="宋体"/>
                <w:color w:val="000000"/>
                <w:sz w:val="21"/>
              </w:rPr>
              <w:t>业绩比较基准（9K218021（适用【A】份额））：2.40%--3.90%</w:t>
            </w:r>
            <w:r>
              <w:rPr>
                <w:rFonts w:ascii="宋体" w:hAnsi="宋体" w:eastAsia="宋体" w:cs="宋体"/>
                <w:color w:val="000000"/>
                <w:sz w:val="21"/>
              </w:rPr>
              <w:br w:type="textWrapping"/>
            </w:r>
            <w:r>
              <w:rPr>
                <w:rFonts w:ascii="宋体" w:hAnsi="宋体" w:eastAsia="宋体" w:cs="宋体"/>
                <w:color w:val="000000"/>
                <w:sz w:val="21"/>
              </w:rPr>
              <w:t>业绩比较基准（9K218121）：2.30%--3.80%</w:t>
            </w: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20" w:hRule="atLeast"/>
        </w:trPr>
        <w:tc>
          <w:p>
            <w:pPr>
              <w:pStyle w:val="4"/>
            </w:pPr>
          </w:p>
        </w:tc>
        <w:tc>
          <w:tcPr>
            <w:gridSpan w:val="2"/>
          </w:tcPr>
          <w:p>
            <w:pPr>
              <w:pStyle w:val="4"/>
            </w:pPr>
          </w:p>
        </w:tc>
        <w:tc>
          <w:tcPr>
            <w:gridSpan w:val="16"/>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vAlign w:val="top"/>
          </w:tcPr>
          <w:p>
            <w:pPr>
              <w:ind w:left="40" w:right="40"/>
              <w:jc w:val="left"/>
            </w:pPr>
            <w:r>
              <w:rPr>
                <w:rFonts w:ascii="宋体" w:hAnsi="宋体" w:eastAsia="宋体" w:cs="宋体"/>
                <w:color w:val="000000"/>
                <w:sz w:val="18"/>
              </w:rPr>
              <w:t>提示：</w:t>
            </w:r>
            <w:r>
              <w:rPr>
                <w:rFonts w:ascii="宋体" w:hAnsi="宋体" w:eastAsia="宋体" w:cs="宋体"/>
                <w:color w:val="000000"/>
                <w:sz w:val="18"/>
              </w:rPr>
              <w:br w:type="textWrapping"/>
            </w:r>
            <w:r>
              <w:rPr>
                <w:rFonts w:ascii="宋体" w:hAnsi="宋体" w:eastAsia="宋体" w:cs="宋体"/>
                <w:color w:val="000000"/>
                <w:sz w:val="18"/>
              </w:rPr>
              <w:t>（1）产品展示的业绩比较基准为报告期末理财产品所在最新投资周期的业绩比较基准。</w:t>
            </w:r>
            <w:r>
              <w:rPr>
                <w:rFonts w:ascii="宋体" w:hAnsi="宋体" w:eastAsia="宋体" w:cs="宋体"/>
                <w:color w:val="000000"/>
                <w:sz w:val="18"/>
              </w:rPr>
              <w:br w:type="textWrapping"/>
            </w:r>
            <w:r>
              <w:rPr>
                <w:rFonts w:ascii="宋体" w:hAnsi="宋体" w:eastAsia="宋体" w:cs="宋体"/>
                <w:color w:val="000000"/>
                <w:sz w:val="18"/>
              </w:rPr>
              <w:t>（2）天天万利宝稳利2号净值型理财产品A款成立于2018年08月07日，数据截止至2024年06月30日。过往业绩是由兴银理财有限责任公司计算并确认后所提供的数据。</w:t>
            </w:r>
            <w:r>
              <w:rPr>
                <w:rFonts w:ascii="宋体" w:hAnsi="宋体" w:eastAsia="宋体" w:cs="宋体"/>
                <w:color w:val="000000"/>
                <w:sz w:val="18"/>
              </w:rPr>
              <w:br w:type="textWrapping"/>
            </w:r>
            <w:r>
              <w:rPr>
                <w:rFonts w:ascii="宋体" w:hAnsi="宋体" w:eastAsia="宋体" w:cs="宋体"/>
                <w:color w:val="000000"/>
                <w:sz w:val="18"/>
              </w:rPr>
              <w:t>（3）近N月年化收益率（%）=（1+（当前复权单位净值/N月前复权单位净值-1）*100%）^（365/区间天数）-1。区间天数为产品前N月（或首个披露的有效净值日期，不含该日）至报告期末有效净值日期（含该日）累计运作天数。展示区间起始时间为近N月的有效净值日期，截止时间为本报告期期末。</w:t>
            </w:r>
            <w:r>
              <w:rPr>
                <w:rFonts w:ascii="宋体" w:hAnsi="宋体" w:eastAsia="宋体" w:cs="宋体"/>
                <w:color w:val="000000"/>
                <w:sz w:val="18"/>
              </w:rPr>
              <w:br w:type="textWrapping"/>
            </w:r>
            <w:r>
              <w:rPr>
                <w:rFonts w:ascii="宋体" w:hAnsi="宋体" w:eastAsia="宋体" w:cs="宋体"/>
                <w:color w:val="000000"/>
                <w:sz w:val="18"/>
              </w:rPr>
              <w:t xml:space="preserve">    X年年化收益率（%）=（1+（X年最后一个有效复权单位净值/X-1年最后一个有效复权单位净值-1）*100%）^（365/区间天数）-1。区间天数为该完整会计年度的天数。</w:t>
            </w:r>
            <w:r>
              <w:rPr>
                <w:rFonts w:ascii="宋体" w:hAnsi="宋体" w:eastAsia="宋体" w:cs="宋体"/>
                <w:color w:val="000000"/>
                <w:sz w:val="18"/>
              </w:rPr>
              <w:br w:type="textWrapping"/>
            </w:r>
            <w:r>
              <w:rPr>
                <w:rFonts w:ascii="宋体" w:hAnsi="宋体" w:eastAsia="宋体" w:cs="宋体"/>
                <w:color w:val="000000"/>
                <w:sz w:val="18"/>
              </w:rPr>
              <w:t xml:space="preserve">    成立至今年化收益率（%）=（1+（当前市值/成立日市值-1）*100%）^（365/区间天数）-1。区间天数为产品成立日期（或首个披露净值日期，不含该日）至报告期末净值日期（含该日）累计运作天数。</w:t>
            </w:r>
            <w:r>
              <w:rPr>
                <w:rFonts w:ascii="宋体" w:hAnsi="宋体" w:eastAsia="宋体" w:cs="宋体"/>
                <w:color w:val="000000"/>
                <w:sz w:val="18"/>
              </w:rPr>
              <w:br w:type="textWrapping"/>
            </w:r>
            <w:r>
              <w:rPr>
                <w:rFonts w:ascii="宋体" w:hAnsi="宋体" w:eastAsia="宋体" w:cs="宋体"/>
                <w:color w:val="000000"/>
                <w:sz w:val="18"/>
              </w:rPr>
              <w:t xml:space="preserve">    复权单位净值体现单位净值序列及累计净值序列的波动和分红等情况。</w:t>
            </w:r>
            <w:r>
              <w:rPr>
                <w:rFonts w:ascii="宋体" w:hAnsi="宋体" w:eastAsia="宋体" w:cs="宋体"/>
                <w:color w:val="000000"/>
                <w:sz w:val="18"/>
              </w:rPr>
              <w:br w:type="textWrapping"/>
            </w:r>
            <w:r>
              <w:rPr>
                <w:rFonts w:ascii="宋体" w:hAnsi="宋体" w:eastAsia="宋体" w:cs="宋体"/>
                <w:color w:val="000000"/>
                <w:sz w:val="18"/>
              </w:rPr>
              <w:t>（4）理财产品过往业绩不代表其未来表现，不等于理财产品实际收益，投资须谨慎。</w:t>
            </w: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top"/>
          </w:tcPr>
          <w:p>
            <w:r>
              <w:rPr>
                <w:rFonts w:ascii="宋体" w:hAnsi="宋体" w:eastAsia="宋体" w:cs="宋体"/>
                <w:color w:val="000000"/>
                <w:sz w:val="21"/>
              </w:rPr>
              <w:t>报告期末，产品净值表现具体如下：</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9K218021</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1.01220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1.22346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4,890,584,860.62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gridCol w:w="2000"/>
              <w:gridCol w:w="2400"/>
              <w:gridCol w:w="2200"/>
              <w:gridCol w:w="23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销售代码</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估值日期</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产品份额净值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产品累计净值</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产品资产净值</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9K218021（适用【A】份额）</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1.01220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1.22346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4,890,136,931.46</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7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9K218121</w:t>
                        </w:r>
                      </w:p>
                    </w:tc>
                    <w:tc>
                      <w:p>
                        <w:pPr>
                          <w:pStyle w:val="4"/>
                        </w:pP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2024年6月30日</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4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1.01158</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3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447,929.16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6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四. 产品投资经理简介</w:t>
            </w:r>
          </w:p>
        </w:tc>
        <w:tc>
          <w:tcPr>
            <w:gridSpan w:val="4"/>
          </w:tcPr>
          <w:p>
            <w:pPr>
              <w:pStyle w:val="4"/>
            </w:pPr>
          </w:p>
        </w:tc>
        <w:tc>
          <w:p>
            <w:pPr>
              <w:pStyle w:val="4"/>
            </w:pPr>
          </w:p>
        </w:tc>
      </w:tr>
      <w:tr>
        <w:tblPrEx>
          <w:tblCellMar>
            <w:top w:w="0" w:type="dxa"/>
            <w:left w:w="10" w:type="dxa"/>
            <w:bottom w:w="0" w:type="dxa"/>
            <w:right w:w="10" w:type="dxa"/>
          </w:tblCellMar>
        </w:tblPrEx>
        <w:trPr>
          <w:trHeight w:val="42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9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李琪刚先生，上海大学工学硕士，曾任交银理财有限责任公司资深投资经理，2023年加入兴银理财，现任兴银理财固定收益部投资经理，具有丰富银行理财产品投资管理经历，善于通过研判市场走势开展资产配置和交易，追求产品绝对收益回报。</w:t>
            </w:r>
          </w:p>
        </w:tc>
        <w:tc>
          <w:tcPr>
            <w:gridSpan w:val="4"/>
          </w:tcPr>
          <w:p>
            <w:pPr>
              <w:pStyle w:val="4"/>
            </w:pPr>
          </w:p>
        </w:tc>
        <w:tc>
          <w:p>
            <w:pPr>
              <w:pStyle w:val="4"/>
            </w:pPr>
          </w:p>
        </w:tc>
      </w:tr>
      <w:tr>
        <w:tblPrEx>
          <w:tblCellMar>
            <w:top w:w="0" w:type="dxa"/>
            <w:left w:w="10" w:type="dxa"/>
            <w:bottom w:w="0" w:type="dxa"/>
            <w:right w:w="10" w:type="dxa"/>
          </w:tblCellMar>
        </w:tblPrEx>
        <w:trPr>
          <w:trHeight w:val="1100" w:hRule="exact"/>
        </w:trPr>
        <w:tc>
          <w:p>
            <w:pPr>
              <w:pStyle w:val="4"/>
            </w:pPr>
          </w:p>
        </w:tc>
        <w:tc>
          <w:tcPr>
            <w:gridSpan w:val="2"/>
          </w:tcPr>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4/</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gridAfter w:val="2"/>
          <w:trHeight w:val="0" w:hRule="atLeast"/>
        </w:trPr>
        <w:tc>
          <w:p>
            <w:pPr>
              <w:pStyle w:val="4"/>
              <w:pageBreakBefore/>
            </w:pPr>
            <w:bookmarkStart w:id="4" w:name="JR_PAGE_ANCHOR_0_5"/>
            <w:bookmarkEnd w:id="4"/>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五. 报告期内产品的投资策略和运作分析</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2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86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一、2024年二季度投资策略与运作回顾</w:t>
            </w:r>
            <w:r>
              <w:rPr>
                <w:rFonts w:ascii="宋体" w:hAnsi="宋体" w:eastAsia="宋体" w:cs="宋体"/>
                <w:color w:val="000000"/>
                <w:sz w:val="21"/>
              </w:rPr>
              <w:br w:type="textWrapping"/>
            </w:r>
            <w:r>
              <w:rPr>
                <w:rFonts w:ascii="宋体" w:hAnsi="宋体" w:eastAsia="宋体" w:cs="宋体"/>
                <w:color w:val="000000"/>
                <w:sz w:val="21"/>
              </w:rPr>
              <w:t>　  2024年上半年，债券收益率总体走低，期间经历两次回调，“资产荒”逻辑贯穿演绎，利率债走出牛陡态势，信用债走出牛平态势。回顾上半年债市，大致可以划分为三个阶段：（1）年初至3月初，债市演绎快牛。货币政策稳健偏松，“资产荒”延续，叠加存款成本调降等因素，债牛行情快速演绎，同时权益市场带动风险偏好下降，久期策略成为市场主流，30年国债交投活跃度提升，长端利率债定价与MLF逐步脱锚。（2）3月初至4月下旬，债市震荡偏强。3月中上旬房地产政策陆续优化、基本面预期改善，同时市场对超长债供给及资金防空转有所忌惮，债市短暂调整，但随着政府债发行进度偏缓及4月后“禁止手工补息”提升债市配置力量，收益率震荡下行。（3）4月下旬至6月末，债市急跌后缓慢修复。4月中下旬债市下行过快、叠加超长债供给预期，4月末债市经历一轮快速下跌后转为震荡；5月中下旬随着超长债供给方案落地、房地产政策进一步明晰，在市场风险偏降低、非银资金充裕、部分银行下调存款利率等因素推动下，债市多做情绪修复，至季末基本修复至4月收益率低点。</w:t>
            </w:r>
            <w:r>
              <w:rPr>
                <w:rFonts w:ascii="宋体" w:hAnsi="宋体" w:eastAsia="宋体" w:cs="宋体"/>
                <w:color w:val="000000"/>
                <w:sz w:val="21"/>
              </w:rPr>
              <w:br w:type="textWrapping"/>
            </w:r>
            <w:r>
              <w:rPr>
                <w:rFonts w:ascii="宋体" w:hAnsi="宋体" w:eastAsia="宋体" w:cs="宋体"/>
                <w:color w:val="000000"/>
                <w:sz w:val="21"/>
              </w:rPr>
              <w:t>　  上半年来看，收益率方面1年NCD、1年国债、10年国债、30年国债、信用债3年AAA、3年AA+、5年AAA、5年AA+分别变动-45BP、-54BP、-35BP、-40BP、-58BP、-62BP、-67BP、-81BP;？信用利差方面3年AAA、3年AA+、5年AAA、5年AA+分别变动-18BP、-21BP、-21BP、-35BP。</w:t>
            </w:r>
            <w:r>
              <w:rPr>
                <w:rFonts w:ascii="宋体" w:hAnsi="宋体" w:eastAsia="宋体" w:cs="宋体"/>
                <w:color w:val="000000"/>
                <w:sz w:val="21"/>
              </w:rPr>
              <w:br w:type="textWrapping"/>
            </w:r>
            <w:r>
              <w:rPr>
                <w:rFonts w:ascii="宋体" w:hAnsi="宋体" w:eastAsia="宋体" w:cs="宋体"/>
                <w:color w:val="000000"/>
                <w:sz w:val="21"/>
              </w:rPr>
              <w:t>　  产品运作上，1-2月适当提升产品久期，品种上以信用债及二永债为主；3月上旬至4月下旬以区间震荡思路为主，加强二永债及长久期利率债的波段操作并增配信用债基；4月下旬调整以来，逢高加仓二永债及中长久期利率债，并适度加仓利率债基及中短债基，在持续积极把握小波段交易机会的同时，平衡好组合的收益性和流动性。</w:t>
            </w:r>
            <w:r>
              <w:rPr>
                <w:rFonts w:ascii="宋体" w:hAnsi="宋体" w:eastAsia="宋体" w:cs="宋体"/>
                <w:color w:val="000000"/>
                <w:sz w:val="21"/>
              </w:rPr>
              <w:br w:type="textWrapping"/>
            </w:r>
            <w:r>
              <w:rPr>
                <w:rFonts w:ascii="宋体" w:hAnsi="宋体" w:eastAsia="宋体" w:cs="宋体"/>
                <w:color w:val="000000"/>
                <w:sz w:val="21"/>
              </w:rPr>
              <w:t>二、2024年三季度投资策略展望</w:t>
            </w:r>
            <w:r>
              <w:rPr>
                <w:rFonts w:ascii="宋体" w:hAnsi="宋体" w:eastAsia="宋体" w:cs="宋体"/>
                <w:color w:val="000000"/>
                <w:sz w:val="21"/>
              </w:rPr>
              <w:br w:type="textWrapping"/>
            </w:r>
            <w:r>
              <w:rPr>
                <w:rFonts w:ascii="宋体" w:hAnsi="宋体" w:eastAsia="宋体" w:cs="宋体"/>
                <w:color w:val="000000"/>
                <w:sz w:val="21"/>
              </w:rPr>
              <w:t>　  债市预计维持区间震荡，重点关注交易性机会。基本面来看，经济仍处于弱修复状态，新旧动能切换的过程中，预计总量上有韧性、但融资需求持续偏弱；边际来看，6月房地产数据边际上有所改善，但持续性有待验证、趋势性改善的概率较小，财政政策预计较上半年更为积极、但总基调仍立足“固本培元”。货币政策方面，央行表示仍将继续坚持支持性的货币政策立场，对债市偏友好；市场预期央行提及关注市场风险预计意在防止收益率快速下行而非逆转下行趋势，同时政策利率与准备金率仍为央行备用工具。机构行为方面，在金融挤水分、广义利率走低的背景下，银行及非银机构资产荒的核心逻辑仍然存在，策略上谨慎乐观但操作上可能较上半年更为保守。</w:t>
            </w:r>
            <w:r>
              <w:rPr>
                <w:rFonts w:ascii="宋体" w:hAnsi="宋体" w:eastAsia="宋体" w:cs="宋体"/>
                <w:color w:val="000000"/>
                <w:sz w:val="21"/>
              </w:rPr>
              <w:br w:type="textWrapping"/>
            </w:r>
            <w:r>
              <w:rPr>
                <w:rFonts w:ascii="宋体" w:hAnsi="宋体" w:eastAsia="宋体" w:cs="宋体"/>
                <w:color w:val="000000"/>
                <w:sz w:val="21"/>
              </w:rPr>
              <w:t>　  下阶段总体策略维持中性久期，以票息及杠杆策略为主、提升组合流动性，重点关注政府债及金融债供给节奏，关注货币、财政、改革等政策对市场可能造成的扰动，积极把握债市调整形成的波段操作机会，提高组合收益率。</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58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600" w:hRule="atLeast"/>
        </w:trPr>
        <w:tc>
          <w:p>
            <w:pPr>
              <w:pStyle w:val="4"/>
            </w:pPr>
          </w:p>
        </w:tc>
        <w:tc>
          <w:tcPr>
            <w:gridSpan w:val="14"/>
            <w:tcMar>
              <w:top w:w="0" w:type="dxa"/>
              <w:left w:w="0" w:type="dxa"/>
              <w:bottom w:w="0" w:type="dxa"/>
              <w:right w:w="0" w:type="dxa"/>
            </w:tcMar>
            <w:vAlign w:val="center"/>
          </w:tcPr>
          <w:p>
            <w:pPr>
              <w:jc w:val="center"/>
            </w:pPr>
            <w:r>
              <w:rPr>
                <w:rFonts w:ascii="宋体" w:hAnsi="宋体" w:eastAsia="宋体" w:cs="宋体"/>
                <w:b/>
                <w:color w:val="000000"/>
                <w:sz w:val="24"/>
              </w:rPr>
              <w:t>§ 六. 投资组合情况</w:t>
            </w: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2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15"/>
            <w:tcMar>
              <w:top w:w="0" w:type="dxa"/>
              <w:left w:w="0" w:type="dxa"/>
              <w:bottom w:w="0" w:type="dxa"/>
              <w:right w:w="0" w:type="dxa"/>
            </w:tcMar>
            <w:vAlign w:val="center"/>
          </w:tcPr>
          <w:p>
            <w:pPr>
              <w:jc w:val="left"/>
            </w:pPr>
            <w:r>
              <w:rPr>
                <w:rFonts w:ascii="宋体" w:hAnsi="宋体" w:eastAsia="宋体" w:cs="宋体"/>
                <w:b/>
                <w:color w:val="000000"/>
                <w:sz w:val="21"/>
              </w:rPr>
              <w:t>1.报告期末产品资产组合情况</w:t>
            </w:r>
          </w:p>
        </w:tc>
        <w:tc>
          <w:p>
            <w:pPr>
              <w:pStyle w:val="4"/>
            </w:pPr>
          </w:p>
        </w:tc>
      </w:tr>
      <w:tr>
        <w:tblPrEx>
          <w:tblCellMar>
            <w:top w:w="0" w:type="dxa"/>
            <w:left w:w="10" w:type="dxa"/>
            <w:bottom w:w="0" w:type="dxa"/>
            <w:right w:w="10" w:type="dxa"/>
          </w:tblCellMar>
        </w:tblPrEx>
        <w:trPr>
          <w:gridAfter w:val="2"/>
          <w:trHeight w:val="3400" w:hRule="exact"/>
        </w:trPr>
        <w:tc>
          <w:p>
            <w:pPr>
              <w:pStyle w:val="4"/>
            </w:pPr>
          </w:p>
        </w:tc>
        <w:tc>
          <w:p>
            <w:pPr>
              <w:pStyle w:val="4"/>
            </w:pPr>
          </w:p>
        </w:tc>
        <w:tc>
          <w:tcPr>
            <w:gridSpan w:val="5"/>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gridAfter w:val="2"/>
          <w:trHeight w:val="400" w:hRule="atLeast"/>
        </w:trPr>
        <w:tc>
          <w:p>
            <w:pPr>
              <w:pStyle w:val="4"/>
            </w:pPr>
          </w:p>
        </w:tc>
        <w:tc>
          <w:p>
            <w:pPr>
              <w:pStyle w:val="4"/>
            </w:pPr>
          </w:p>
        </w:tc>
        <w:tc>
          <w:tcPr>
            <w:gridSpan w:val="5"/>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5/</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5" w:name="JR_PAGE_ANCHOR_0_6"/>
            <w:bookmarkEnd w:id="5"/>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0" w:hRule="exact"/>
        </w:trPr>
        <w:tc>
          <w:p>
            <w:pPr>
              <w:pStyle w:val="4"/>
            </w:pPr>
          </w:p>
        </w:tc>
        <w:tc>
          <w:p>
            <w:pPr>
              <w:pStyle w:val="4"/>
            </w:pPr>
          </w:p>
        </w:tc>
        <w:tc>
          <w:tcPr>
            <w:gridSpan w:val="15"/>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600"/>
              <w:gridCol w:w="3600"/>
              <w:gridCol w:w="3500"/>
            </w:tblGrid>
            <w:tr>
              <w:tblPrEx>
                <w:tblCellMar>
                  <w:top w:w="0" w:type="dxa"/>
                  <w:left w:w="10" w:type="dxa"/>
                  <w:bottom w:w="0" w:type="dxa"/>
                  <w:right w:w="10" w:type="dxa"/>
                </w:tblCellMar>
              </w:tblPrEx>
              <w:trPr>
                <w:trHeight w:val="600" w:hRule="atLeas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资产类型</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直接投资占产品总资产的比例（%）</w:t>
                        </w:r>
                      </w:p>
                    </w:tc>
                  </w:tr>
                </w:tbl>
                <w:p>
                  <w:pPr>
                    <w:pStyle w:val="4"/>
                  </w:pPr>
                </w:p>
              </w:tc>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间接投资占产品总资产的比例（%）</w:t>
                  </w: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现金及银行存款</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0.16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27.14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拆放同业及债券买入返售</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3.28</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非标准化债权类资产</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26.29</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公募基金</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5.06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6.33</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同业存单</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2.04</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委外投资</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34.11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0.00</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债券</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34.38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34.92</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总计</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100.00</w:t>
                        </w:r>
                      </w:p>
                    </w:tc>
                  </w:tr>
                </w:tbl>
                <w:p>
                  <w:pPr>
                    <w:pStyle w:val="4"/>
                  </w:pPr>
                </w:p>
              </w:tc>
            </w:tr>
          </w:tbl>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2.报告期末杠杆融资情况</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1000" w:hRule="atLeast"/>
        </w:trPr>
        <w:tc>
          <w:p>
            <w:pPr>
              <w:pStyle w:val="4"/>
            </w:pPr>
          </w:p>
        </w:tc>
        <w:tc>
          <w:tcPr>
            <w:gridSpan w:val="14"/>
            <w:tcMar>
              <w:top w:w="0" w:type="dxa"/>
              <w:left w:w="0" w:type="dxa"/>
              <w:bottom w:w="0" w:type="dxa"/>
              <w:right w:w="0" w:type="dxa"/>
            </w:tcMar>
            <w:vAlign w:val="top"/>
          </w:tcPr>
          <w:p>
            <w:pPr>
              <w:spacing w:before="0" w:after="0" w:line="320" w:lineRule="exact"/>
              <w:ind w:firstLine="0"/>
              <w:jc w:val="left"/>
            </w:pPr>
            <w:r>
              <w:rPr>
                <w:rFonts w:ascii="宋体" w:hAnsi="宋体" w:eastAsia="宋体" w:cs="宋体"/>
                <w:color w:val="000000"/>
                <w:sz w:val="21"/>
              </w:rPr>
              <w:t xml:space="preserve">    报告期末本产品总资产未超过该产品净资产规模的140%，符合产品协议对本产品杠杆比例的要求。</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pPr>
              <w:jc w:val="left"/>
            </w:pPr>
            <w:r>
              <w:rPr>
                <w:rFonts w:ascii="宋体" w:hAnsi="宋体" w:eastAsia="宋体" w:cs="宋体"/>
                <w:b/>
                <w:color w:val="000000"/>
                <w:sz w:val="21"/>
              </w:rPr>
              <w:t>3.投资组合的流动性风险分析</w:t>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2240" w:hRule="atLeast"/>
        </w:trPr>
        <w:tc>
          <w:p>
            <w:pPr>
              <w:pStyle w:val="4"/>
            </w:pPr>
          </w:p>
        </w:tc>
        <w:tc>
          <w:tcPr>
            <w:gridSpan w:val="14"/>
            <w:tcMar>
              <w:top w:w="0" w:type="dxa"/>
              <w:left w:w="0" w:type="dxa"/>
              <w:bottom w:w="0" w:type="dxa"/>
              <w:right w:w="0" w:type="dxa"/>
            </w:tcMar>
            <w:vAlign w:val="top"/>
          </w:tcPr>
          <w:p>
            <w:pPr>
              <w:spacing w:before="0" w:after="0" w:line="320" w:lineRule="exact"/>
              <w:ind w:firstLine="420" w:firstLineChars="200"/>
              <w:jc w:val="left"/>
            </w:pPr>
            <w:bookmarkStart w:id="8" w:name="_GoBack"/>
            <w:bookmarkEnd w:id="8"/>
            <w:r>
              <w:rPr>
                <w:rFonts w:ascii="宋体" w:hAnsi="宋体" w:eastAsia="宋体" w:cs="宋体"/>
                <w:color w:val="000000"/>
                <w:sz w:val="21"/>
              </w:rPr>
              <w:t>流动性风险是指产品在履行与金融负债有关的义务时遇到资金短缺的风险。本产品的流动性风险一方面来自理财份额持有人可在约定的开放日提出赎回其持有的理财份额，另一方面来自于若投资品种所处的交易市场不活跃，可能带来资产变现困难或产品持仓资产在市场出现剧烈波动的情况下难以以合理价格变现的风险。 为防范无法支付赎回款而产生的流动性风险，本理财产品管理人将合理安排所投资产期限，持续根据市场变化情况做好投资安排，尽可能降低产品流动性风险，有效保障理财持有人利益。 报告期内，本理财产品管理人严格遵守相关法律法规以及产品销售协议，对理财产品组合资产的流动性风险进行管理，报告期内未发生流动性风险。</w:t>
            </w:r>
            <w:r>
              <w:rPr>
                <w:rFonts w:ascii="宋体" w:hAnsi="宋体" w:eastAsia="宋体" w:cs="宋体"/>
                <w:color w:val="000000"/>
                <w:sz w:val="21"/>
              </w:rPr>
              <w:br w:type="textWrapping"/>
            </w: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54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p>
            <w:pPr>
              <w:pStyle w:val="4"/>
            </w:pPr>
          </w:p>
        </w:tc>
        <w:tc>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4.报告期末资产持仓前十基本信息</w:t>
            </w:r>
          </w:p>
        </w:tc>
        <w:tc>
          <w:p>
            <w:pPr>
              <w:pStyle w:val="4"/>
            </w:pPr>
          </w:p>
        </w:tc>
      </w:tr>
      <w:tr>
        <w:tblPrEx>
          <w:tblCellMar>
            <w:top w:w="0" w:type="dxa"/>
            <w:left w:w="10" w:type="dxa"/>
            <w:bottom w:w="0" w:type="dxa"/>
            <w:right w:w="10" w:type="dxa"/>
          </w:tblCellMar>
        </w:tblPrEx>
        <w:trPr>
          <w:trHeight w:val="3640" w:hRule="exact"/>
        </w:trPr>
        <w:tc>
          <w:p>
            <w:pPr>
              <w:pStyle w:val="4"/>
            </w:pPr>
          </w:p>
        </w:tc>
        <w:tc>
          <w:p>
            <w:pPr>
              <w:pStyle w:val="4"/>
            </w:pPr>
          </w:p>
        </w:tc>
        <w:tc>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64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资产规模</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4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占产品资产净值的比例（%）</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403,944,838.96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8.26</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中银金租同业借款20240315001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400,236,420.88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8.18</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民生金租同业借款20240426002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300,235,781.84</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6.14</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20中国银行永续债01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213,617,951.92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4.37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5</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浦银金租同业借款20240315001</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201,492,266.65</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4.12</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120" w:hRule="exact"/>
        </w:trPr>
        <w:tc>
          <w:p>
            <w:pPr>
              <w:pStyle w:val="4"/>
            </w:pPr>
          </w:p>
        </w:tc>
        <w:tc>
          <w:p>
            <w:pPr>
              <w:pStyle w:val="4"/>
            </w:pPr>
          </w:p>
        </w:tc>
        <w:tc>
          <w:p>
            <w:pPr>
              <w:pStyle w:val="4"/>
            </w:pPr>
          </w:p>
        </w:tc>
        <w:tc>
          <w:tcPr>
            <w:gridSpan w:val="4"/>
          </w:tcPr>
          <w:p>
            <w:pPr>
              <w:pStyle w:val="4"/>
            </w:pPr>
          </w:p>
        </w:tc>
        <w:tc>
          <w:tcPr>
            <w:gridSpan w:val="3"/>
          </w:tcPr>
          <w:p>
            <w:pPr>
              <w:pStyle w:val="4"/>
            </w:pPr>
          </w:p>
        </w:tc>
        <w:tc>
          <w:tcPr>
            <w:gridSpan w:val="2"/>
          </w:tcPr>
          <w:p>
            <w:pPr>
              <w:pStyle w:val="4"/>
            </w:pP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p>
            <w:pPr>
              <w:pStyle w:val="4"/>
            </w:pPr>
          </w:p>
        </w:tc>
        <w:tc>
          <w:p>
            <w:pPr>
              <w:pStyle w:val="4"/>
            </w:pPr>
          </w:p>
        </w:tc>
        <w:tc>
          <w:tcPr>
            <w:gridSpan w:val="4"/>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6/</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2"/>
          </w:tcPr>
          <w:p>
            <w:pPr>
              <w:pStyle w:val="4"/>
            </w:pPr>
          </w:p>
        </w:tc>
        <w:tc>
          <w:tcPr>
            <w:gridSpan w:val="2"/>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6" w:name="JR_PAGE_ANCHOR_0_7"/>
            <w:bookmarkEnd w:id="6"/>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Borders>
              <w:bottom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4000"/>
              <w:gridCol w:w="2600"/>
              <w:gridCol w:w="3100"/>
            </w:tblGrid>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20邮储银行永续债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163,595,690.96</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3.35</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7</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民生通惠兴银惠享1号持有定期存款</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112,215,751.32</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2.29</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8</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19广发银行永续债</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104,015,968.49</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2.13</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9</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24农行永续债02</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100,993,532.88</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2.07</w:t>
                        </w:r>
                      </w:p>
                    </w:tc>
                  </w:tr>
                </w:tbl>
                <w:p>
                  <w:pPr>
                    <w:pStyle w:val="4"/>
                  </w:pPr>
                </w:p>
              </w:tc>
            </w:tr>
            <w:tr>
              <w:tblPrEx>
                <w:tblCellMar>
                  <w:top w:w="0" w:type="dxa"/>
                  <w:left w:w="10" w:type="dxa"/>
                  <w:bottom w:w="0" w:type="dxa"/>
                  <w:right w:w="10" w:type="dxa"/>
                </w:tblCellMar>
              </w:tblPrEx>
              <w:trPr>
                <w:trHeight w:val="58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2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58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100,674,182.31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2.06</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4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2"/>
          </w:tcPr>
          <w:p>
            <w:pPr>
              <w:pStyle w:val="4"/>
            </w:pPr>
          </w:p>
        </w:tc>
        <w:tc>
          <w:tcPr>
            <w:gridSpan w:val="16"/>
            <w:tcMar>
              <w:top w:w="0" w:type="dxa"/>
              <w:left w:w="0" w:type="dxa"/>
              <w:bottom w:w="0" w:type="dxa"/>
              <w:right w:w="0" w:type="dxa"/>
            </w:tcMar>
            <w:vAlign w:val="center"/>
          </w:tcPr>
          <w:p>
            <w:r>
              <w:rPr>
                <w:rFonts w:ascii="宋体" w:hAnsi="宋体" w:eastAsia="宋体" w:cs="宋体"/>
                <w:b/>
                <w:color w:val="000000"/>
                <w:sz w:val="21"/>
              </w:rPr>
              <w:t>5.报告期末持有非标准化债权类资产情况</w:t>
            </w:r>
          </w:p>
        </w:tc>
        <w:tc>
          <w:p>
            <w:pPr>
              <w:pStyle w:val="4"/>
            </w:pPr>
          </w:p>
        </w:tc>
      </w:tr>
      <w:tr>
        <w:tblPrEx>
          <w:tblCellMar>
            <w:top w:w="0" w:type="dxa"/>
            <w:left w:w="10" w:type="dxa"/>
            <w:bottom w:w="0" w:type="dxa"/>
            <w:right w:w="10" w:type="dxa"/>
          </w:tblCellMar>
        </w:tblPrEx>
        <w:trPr>
          <w:trHeight w:val="3000" w:hRule="exact"/>
        </w:trPr>
        <w:tc>
          <w:p>
            <w:pPr>
              <w:pStyle w:val="4"/>
            </w:pPr>
          </w:p>
        </w:tc>
        <w:tc>
          <w:tcPr>
            <w:gridSpan w:val="2"/>
          </w:tcPr>
          <w:p>
            <w:pPr>
              <w:pStyle w:val="4"/>
            </w:pPr>
          </w:p>
        </w:tc>
        <w:tc>
          <w:tcPr>
            <w:gridSpan w:val="16"/>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3600"/>
              <w:gridCol w:w="2200"/>
              <w:gridCol w:w="1200"/>
              <w:gridCol w:w="1600"/>
              <w:gridCol w:w="1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项目名称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融资客户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剩余融资期限（天）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交易结构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4B4B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风险状况</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民生金租同业借款20240426002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民生金融租赁股份有限公司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17</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中银金租同业借款20240315001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中银金融租赁有限公司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中信资管同业借款20240314001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中国中信金融资产管理股份有限公司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浦银金租同业借款20240315001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浦银金融租赁股份有限公司</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6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同业借款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正常</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5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atLeast"/>
        </w:trPr>
        <w:tc>
          <w:p>
            <w:pPr>
              <w:pStyle w:val="4"/>
            </w:pPr>
          </w:p>
        </w:tc>
        <w:tc>
          <w:tcPr>
            <w:gridSpan w:val="14"/>
            <w:tcMar>
              <w:top w:w="0" w:type="dxa"/>
              <w:left w:w="0" w:type="dxa"/>
              <w:bottom w:w="0" w:type="dxa"/>
              <w:right w:w="0" w:type="dxa"/>
            </w:tcMar>
            <w:vAlign w:val="center"/>
          </w:tcPr>
          <w:p>
            <w:r>
              <w:rPr>
                <w:rFonts w:ascii="宋体" w:hAnsi="宋体" w:eastAsia="宋体" w:cs="宋体"/>
                <w:b/>
                <w:color w:val="000000"/>
                <w:sz w:val="21"/>
              </w:rPr>
              <w:t>6.报告期间关联交易情况</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6.1 理财产品在报告期末投资关联方发行、承销的证券的情况</w:t>
            </w:r>
          </w:p>
        </w:tc>
        <w:tc>
          <w:tcPr>
            <w:gridSpan w:val="4"/>
          </w:tcPr>
          <w:p>
            <w:pPr>
              <w:pStyle w:val="4"/>
            </w:pPr>
          </w:p>
        </w:tc>
        <w:tc>
          <w:p>
            <w:pPr>
              <w:pStyle w:val="4"/>
            </w:pPr>
          </w:p>
        </w:tc>
      </w:tr>
      <w:tr>
        <w:tblPrEx>
          <w:tblCellMar>
            <w:top w:w="0" w:type="dxa"/>
            <w:left w:w="10" w:type="dxa"/>
            <w:bottom w:w="0" w:type="dxa"/>
            <w:right w:w="10" w:type="dxa"/>
          </w:tblCellMar>
        </w:tblPrEx>
        <w:trPr>
          <w:trHeight w:val="60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承销商/发行人</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23镇江城建MTN004</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22青岛经开PPN001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28,500,000.00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23青岛华通CP002</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22东湖高新MTN001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14,000,000.00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22振业集团MTN001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21江北公用MTN001(可持续挂钩)</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22常德经建MTN001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21芯鑫租赁MTN001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21海沧投资MTN003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8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7/</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0" w:hRule="atLeast"/>
        </w:trPr>
        <w:tc>
          <w:p>
            <w:pPr>
              <w:pStyle w:val="4"/>
              <w:pageBreakBefore/>
            </w:pPr>
            <w:bookmarkStart w:id="7" w:name="JR_PAGE_ANCHOR_0_8"/>
            <w:bookmarkEnd w:id="7"/>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bottom"/>
          </w:tcPr>
          <w:p>
            <w:pPr>
              <w:spacing w:before="0" w:after="0" w:line="192" w:lineRule="auto"/>
              <w:jc w:val="left"/>
            </w:pPr>
            <w:r>
              <w:rPr>
                <w:rFonts w:ascii="宋体" w:hAnsi="宋体" w:eastAsia="宋体" w:cs="宋体"/>
                <w:color w:val="808080"/>
                <w:sz w:val="18"/>
              </w:rPr>
              <w:t>天天万利宝稳利2号净值型理财产品A款2024年第二季度报告</w:t>
            </w: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 w:hRule="exact"/>
        </w:trPr>
        <w:tc>
          <w:p>
            <w:pPr>
              <w:pStyle w:val="4"/>
            </w:pPr>
          </w:p>
        </w:tc>
        <w:tc>
          <w:tcPr>
            <w:gridSpan w:val="14"/>
            <w:tcBorders>
              <w:top w:val="single" w:color="000000" w:sz="8" w:space="0"/>
            </w:tcBorders>
            <w:shd w:val="clear" w:color="auto" w:fill="FFFFFF"/>
            <w:tcMar>
              <w:top w:w="0" w:type="dxa"/>
              <w:left w:w="0" w:type="dxa"/>
              <w:bottom w:w="0" w:type="dxa"/>
              <w:right w:w="0" w:type="dxa"/>
            </w:tcMar>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8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gridCol w:w="2200"/>
              <w:gridCol w:w="38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23云能投CP011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16,700,000.00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23青岛财富MTN001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7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22淮安国联PPN001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30,000,000.00</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6.2 理财产品在报告期内其他关联交易</w:t>
            </w:r>
          </w:p>
        </w:tc>
        <w:tc>
          <w:tcPr>
            <w:gridSpan w:val="4"/>
          </w:tcPr>
          <w:p>
            <w:pPr>
              <w:pStyle w:val="4"/>
            </w:pPr>
          </w:p>
        </w:tc>
        <w:tc>
          <w:p>
            <w:pPr>
              <w:pStyle w:val="4"/>
            </w:pPr>
          </w:p>
        </w:tc>
      </w:tr>
      <w:tr>
        <w:tblPrEx>
          <w:tblCellMar>
            <w:top w:w="0" w:type="dxa"/>
            <w:left w:w="10" w:type="dxa"/>
            <w:bottom w:w="0" w:type="dxa"/>
            <w:right w:w="10" w:type="dxa"/>
          </w:tblCellMar>
        </w:tblPrEx>
        <w:trPr>
          <w:trHeight w:val="24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交易标的</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交易金额（万元）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天天万利宝稳利2号净值型理财产品A款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112.8299</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销售服务费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天天万利宝稳利2号净值型理财产品A款</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34.8191</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兴业银行股份有限公司</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兴银鑫日享短债债券型证券投资基金</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6.6593</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管理费</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兴银基金管理有限责任公司</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20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10"/>
            <w:tcMar>
              <w:top w:w="0" w:type="dxa"/>
              <w:left w:w="0" w:type="dxa"/>
              <w:bottom w:w="0" w:type="dxa"/>
              <w:right w:w="0" w:type="dxa"/>
            </w:tcMar>
            <w:vAlign w:val="top"/>
          </w:tcPr>
          <w:p>
            <w:r>
              <w:rPr>
                <w:rFonts w:ascii="宋体" w:hAnsi="宋体" w:eastAsia="宋体" w:cs="宋体"/>
                <w:color w:val="000000"/>
                <w:sz w:val="20"/>
              </w:rPr>
              <w:t>6.3 理财产品在报告期内中的重大关联交易</w:t>
            </w: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gridCol w:w="2000"/>
              <w:gridCol w:w="1800"/>
              <w:gridCol w:w="3100"/>
            </w:tblGrid>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资产名称</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资产面额（元）</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8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交易类型</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FBFB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1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b/>
                            <w:color w:val="000000"/>
                            <w:sz w:val="21"/>
                          </w:rPr>
                          <w:t>关联方名称</w:t>
                        </w: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600" w:hRule="exact"/>
        </w:trPr>
        <w:tc>
          <w:p>
            <w:pPr>
              <w:pStyle w:val="4"/>
            </w:pPr>
          </w:p>
        </w:tc>
        <w:tc>
          <w:tcPr>
            <w:gridSpan w:val="14"/>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700"/>
            </w:tblGrid>
            <w:tr>
              <w:tblPrEx>
                <w:tblCellMar>
                  <w:top w:w="0" w:type="dxa"/>
                  <w:left w:w="10" w:type="dxa"/>
                  <w:bottom w:w="0" w:type="dxa"/>
                  <w:right w:w="10" w:type="dxa"/>
                </w:tblCellMar>
              </w:tblPrEx>
              <w:trPr>
                <w:trHeight w:val="600" w:hRule="exact"/>
              </w:trPr>
              <w:tc>
                <w:tcPr>
                  <w:tcBorders>
                    <w:left w:val="single" w:color="000000" w:sz="4" w:space="0"/>
                    <w:bottom w:val="single" w:color="000000" w:sz="4" w:space="0"/>
                    <w:right w:val="single" w:color="000000" w:sz="4" w:space="0"/>
                  </w:tcBorders>
                  <w:shd w:val="clear" w:color="auto" w:fill="FFFFFF"/>
                  <w:tcMar>
                    <w:top w:w="0" w:type="dxa"/>
                    <w:left w:w="2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680"/>
                    <w:gridCol w:w="2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无</w:t>
                        </w:r>
                      </w:p>
                    </w:tc>
                    <w:tc>
                      <w:p>
                        <w:pPr>
                          <w:pStyle w:val="4"/>
                        </w:pPr>
                      </w:p>
                    </w:tc>
                  </w:tr>
                </w:tbl>
                <w:p>
                  <w:pPr>
                    <w:pStyle w:val="4"/>
                  </w:pPr>
                </w:p>
              </w:tc>
            </w:tr>
          </w:tbl>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1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16"/>
            <w:tcMar>
              <w:top w:w="0" w:type="dxa"/>
              <w:left w:w="0" w:type="dxa"/>
              <w:bottom w:w="0" w:type="dxa"/>
              <w:right w:w="0" w:type="dxa"/>
            </w:tcMar>
            <w:vAlign w:val="center"/>
          </w:tcPr>
          <w:p>
            <w:pPr>
              <w:jc w:val="left"/>
            </w:pPr>
            <w:r>
              <w:rPr>
                <w:rFonts w:ascii="宋体" w:hAnsi="宋体" w:eastAsia="宋体" w:cs="宋体"/>
                <w:b/>
                <w:color w:val="000000"/>
                <w:sz w:val="21"/>
              </w:rPr>
              <w:t>7.投资账户信息</w:t>
            </w:r>
          </w:p>
        </w:tc>
        <w:tc>
          <w:p>
            <w:pPr>
              <w:pStyle w:val="4"/>
            </w:pPr>
          </w:p>
        </w:tc>
      </w:tr>
      <w:tr>
        <w:tblPrEx>
          <w:tblCellMar>
            <w:top w:w="0" w:type="dxa"/>
            <w:left w:w="10" w:type="dxa"/>
            <w:bottom w:w="0" w:type="dxa"/>
            <w:right w:w="10" w:type="dxa"/>
          </w:tblCellMar>
        </w:tblPrEx>
        <w:trPr>
          <w:trHeight w:val="1200" w:hRule="exact"/>
        </w:trPr>
        <w:tc>
          <w:p>
            <w:pPr>
              <w:pStyle w:val="4"/>
            </w:pPr>
          </w:p>
        </w:tc>
        <w:tc>
          <w:tcPr>
            <w:gridSpan w:val="2"/>
          </w:tcPr>
          <w:p>
            <w:pPr>
              <w:pStyle w:val="4"/>
            </w:pPr>
          </w:p>
        </w:tc>
        <w:tc>
          <w:tcPr>
            <w:gridSpan w:val="16"/>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gridCol w:w="2200"/>
              <w:gridCol w:w="3000"/>
              <w:gridCol w:w="4500"/>
            </w:tblGrid>
            <w:tr>
              <w:trPr>
                <w:trHeight w:val="600" w:hRule="exact"/>
              </w:trPr>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序号</w:t>
                        </w:r>
                      </w:p>
                    </w:tc>
                  </w:tr>
                </w:tbl>
                <w:p>
                  <w:pPr>
                    <w:pStyle w:val="4"/>
                  </w:pPr>
                </w:p>
              </w:tc>
              <w:tc>
                <w:tcPr>
                  <w:tcBorders>
                    <w:top w:val="single" w:color="000000" w:sz="8" w:space="0"/>
                    <w:left w:val="single" w:color="000000" w:sz="8" w:space="0"/>
                    <w:bottom w:val="single" w:color="000000" w:sz="8" w:space="0"/>
                    <w:right w:val="single" w:color="000000" w:sz="8"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账户类型</w:t>
                        </w:r>
                      </w:p>
                    </w:tc>
                  </w:tr>
                </w:tbl>
                <w:p>
                  <w:pPr>
                    <w:pStyle w:val="4"/>
                  </w:pPr>
                </w:p>
              </w:tc>
              <w:tc>
                <w:tcPr>
                  <w:tcBorders>
                    <w:top w:val="single" w:color="000000" w:sz="8" w:space="0"/>
                    <w:left w:val="single" w:color="000000" w:sz="8" w:space="0"/>
                    <w:bottom w:val="single" w:color="000000" w:sz="8" w:space="0"/>
                    <w:right w:val="single" w:color="000000" w:sz="8"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账户编号</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B3B4B5"/>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shd w:val="clear" w:color="auto" w:fill="BFBFBF"/>
                        <w:tcMar>
                          <w:top w:w="0" w:type="dxa"/>
                          <w:left w:w="0" w:type="dxa"/>
                          <w:bottom w:w="0" w:type="dxa"/>
                          <w:right w:w="0" w:type="dxa"/>
                        </w:tcMar>
                        <w:vAlign w:val="center"/>
                      </w:tcPr>
                      <w:p>
                        <w:pPr>
                          <w:jc w:val="center"/>
                        </w:pPr>
                        <w:r>
                          <w:rPr>
                            <w:rFonts w:ascii="宋体" w:hAnsi="宋体" w:eastAsia="宋体" w:cs="宋体"/>
                            <w:b/>
                            <w:color w:val="000000"/>
                            <w:sz w:val="21"/>
                          </w:rPr>
                          <w:t>账户名称</w:t>
                        </w:r>
                      </w:p>
                    </w:tc>
                  </w:tr>
                </w:tbl>
                <w:p>
                  <w:pPr>
                    <w:pStyle w:val="4"/>
                  </w:pPr>
                </w:p>
              </w:tc>
            </w:tr>
            <w:tr>
              <w:tblPrEx>
                <w:tblCellMar>
                  <w:top w:w="0" w:type="dxa"/>
                  <w:left w:w="10" w:type="dxa"/>
                  <w:bottom w:w="0" w:type="dxa"/>
                  <w:right w:w="10" w:type="dxa"/>
                </w:tblCellMar>
              </w:tblPrEx>
              <w:trPr>
                <w:trHeight w:val="600" w:hRule="exact"/>
              </w:trPr>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1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1</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22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托管账户</w:t>
                        </w:r>
                      </w:p>
                    </w:tc>
                  </w:tr>
                </w:tbl>
                <w:p>
                  <w:pPr>
                    <w:pStyle w:val="4"/>
                  </w:pPr>
                </w:p>
              </w:tc>
              <w:tc>
                <w:tcPr>
                  <w:tcBorders>
                    <w:top w:val="single" w:color="000000" w:sz="4" w:space="0"/>
                    <w:left w:val="single" w:color="000000" w:sz="4" w:space="0"/>
                    <w:bottom w:val="single" w:color="000000" w:sz="4" w:space="0"/>
                    <w:right w:val="single" w:color="000000" w:sz="4" w:space="0"/>
                  </w:tcBorders>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30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051010100100687736</w:t>
                        </w:r>
                      </w:p>
                    </w:tc>
                  </w:tr>
                </w:tbl>
                <w:p>
                  <w:pPr>
                    <w:pStyle w:val="4"/>
                  </w:pPr>
                </w:p>
              </w:tc>
              <w:tc>
                <w:tcPr>
                  <w:tcBorders>
                    <w:top w:val="single" w:color="000000" w:sz="4" w:space="0"/>
                    <w:left w:val="single" w:color="000000" w:sz="4" w:space="0"/>
                    <w:bottom w:val="single" w:color="000000" w:sz="4" w:space="0"/>
                    <w:right w:val="single" w:color="000000" w:sz="4" w:space="0"/>
                  </w:tcBorders>
                  <w:shd w:val="clear" w:color="auto" w:fill="FFFFFF"/>
                  <w:tcMar>
                    <w:top w:w="0" w:type="dxa"/>
                    <w:left w:w="0" w:type="dxa"/>
                    <w:bottom w:w="0" w:type="dxa"/>
                    <w:right w:w="0" w:type="dxa"/>
                  </w:tcMar>
                </w:tcPr>
                <w:tbl>
                  <w:tblPr>
                    <w:tblStyle w:val="2"/>
                    <w:tblW w:w="0" w:type="auto"/>
                    <w:tblInd w:w="0" w:type="dxa"/>
                    <w:tblLayout w:type="fixed"/>
                    <w:tblCellMar>
                      <w:top w:w="0" w:type="dxa"/>
                      <w:left w:w="10" w:type="dxa"/>
                      <w:bottom w:w="0" w:type="dxa"/>
                      <w:right w:w="10" w:type="dxa"/>
                    </w:tblCellMar>
                  </w:tblPr>
                  <w:tblGrid>
                    <w:gridCol w:w="4500"/>
                  </w:tblGrid>
                  <w:tr>
                    <w:tblPrEx>
                      <w:tblCellMar>
                        <w:top w:w="0" w:type="dxa"/>
                        <w:left w:w="10" w:type="dxa"/>
                        <w:bottom w:w="0" w:type="dxa"/>
                        <w:right w:w="10" w:type="dxa"/>
                      </w:tblCellMar>
                    </w:tblPrEx>
                    <w:trPr>
                      <w:trHeight w:val="600" w:hRule="atLeast"/>
                    </w:trPr>
                    <w:tc>
                      <w:tcPr>
                        <w:tcMar>
                          <w:top w:w="0" w:type="dxa"/>
                          <w:left w:w="0" w:type="dxa"/>
                          <w:bottom w:w="0" w:type="dxa"/>
                          <w:right w:w="0" w:type="dxa"/>
                        </w:tcMar>
                        <w:vAlign w:val="center"/>
                      </w:tcPr>
                      <w:p>
                        <w:pPr>
                          <w:jc w:val="center"/>
                        </w:pPr>
                        <w:r>
                          <w:rPr>
                            <w:rFonts w:ascii="宋体" w:hAnsi="宋体" w:eastAsia="宋体" w:cs="宋体"/>
                            <w:color w:val="000000"/>
                            <w:sz w:val="21"/>
                          </w:rPr>
                          <w:t>兴业银行理财托管专户天天万利宝稳利2号净值型理财产品A款</w:t>
                        </w:r>
                      </w:p>
                    </w:tc>
                  </w:tr>
                </w:tbl>
                <w:p>
                  <w:pPr>
                    <w:pStyle w:val="4"/>
                  </w:pPr>
                </w:p>
              </w:tc>
            </w:tr>
          </w:tbl>
          <w:p>
            <w:pPr>
              <w:pStyle w:val="4"/>
            </w:pPr>
          </w:p>
        </w:tc>
        <w:tc>
          <w:p>
            <w:pPr>
              <w:pStyle w:val="4"/>
            </w:pPr>
          </w:p>
        </w:tc>
      </w:tr>
      <w:tr>
        <w:tblPrEx>
          <w:tblCellMar>
            <w:top w:w="0" w:type="dxa"/>
            <w:left w:w="10" w:type="dxa"/>
            <w:bottom w:w="0" w:type="dxa"/>
            <w:right w:w="10" w:type="dxa"/>
          </w:tblCellMar>
        </w:tblPrEx>
        <w:trPr>
          <w:trHeight w:val="960"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center"/>
          </w:tcPr>
          <w:p>
            <w:pPr>
              <w:jc w:val="right"/>
            </w:pPr>
            <w:r>
              <w:rPr>
                <w:rFonts w:ascii="宋体" w:hAnsi="宋体" w:eastAsia="宋体" w:cs="宋体"/>
                <w:color w:val="000000"/>
                <w:sz w:val="21"/>
              </w:rPr>
              <w:t>兴银理财有限责任公司</w:t>
            </w: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14"/>
            <w:tcMar>
              <w:top w:w="0" w:type="dxa"/>
              <w:left w:w="0" w:type="dxa"/>
              <w:bottom w:w="0" w:type="dxa"/>
              <w:right w:w="0" w:type="dxa"/>
            </w:tcMar>
            <w:vAlign w:val="top"/>
          </w:tcPr>
          <w:p>
            <w:pPr>
              <w:jc w:val="right"/>
            </w:pPr>
            <w:r>
              <w:rPr>
                <w:rFonts w:ascii="宋体" w:hAnsi="宋体" w:eastAsia="宋体" w:cs="宋体"/>
                <w:color w:val="000000"/>
                <w:sz w:val="21"/>
              </w:rPr>
              <w:t>2024年7月19日</w:t>
            </w:r>
          </w:p>
        </w:tc>
        <w:tc>
          <w:tcPr>
            <w:gridSpan w:val="4"/>
          </w:tcPr>
          <w:p>
            <w:pPr>
              <w:pStyle w:val="4"/>
            </w:pPr>
          </w:p>
        </w:tc>
        <w:tc>
          <w:p>
            <w:pPr>
              <w:pStyle w:val="4"/>
            </w:pPr>
          </w:p>
        </w:tc>
      </w:tr>
      <w:tr>
        <w:tblPrEx>
          <w:tblCellMar>
            <w:top w:w="0" w:type="dxa"/>
            <w:left w:w="10" w:type="dxa"/>
            <w:bottom w:w="0" w:type="dxa"/>
            <w:right w:w="10" w:type="dxa"/>
          </w:tblCellMar>
        </w:tblPrEx>
        <w:trPr>
          <w:trHeight w:val="3667" w:hRule="exact"/>
        </w:trPr>
        <w:tc>
          <w:p>
            <w:pPr>
              <w:pStyle w:val="4"/>
            </w:pPr>
          </w:p>
        </w:tc>
        <w:tc>
          <w:tcPr>
            <w:gridSpan w:val="2"/>
          </w:tcPr>
          <w:p>
            <w:pPr>
              <w:pStyle w:val="4"/>
            </w:pPr>
          </w:p>
        </w:tc>
        <w:tc>
          <w:tcPr>
            <w:gridSpan w:val="2"/>
          </w:tcPr>
          <w:p>
            <w:pPr>
              <w:pStyle w:val="4"/>
            </w:pPr>
          </w:p>
        </w:tc>
        <w:tc>
          <w:tcPr>
            <w:gridSpan w:val="2"/>
          </w:tcPr>
          <w:p>
            <w:pPr>
              <w:pStyle w:val="4"/>
            </w:pPr>
          </w:p>
        </w:tc>
        <w:tc>
          <w:tcPr>
            <w:gridSpan w:val="3"/>
          </w:tcPr>
          <w:p>
            <w:pPr>
              <w:pStyle w:val="4"/>
            </w:pPr>
          </w:p>
        </w:tc>
        <w:tc>
          <w:tcPr>
            <w:gridSpan w:val="2"/>
          </w:tcPr>
          <w:p>
            <w:pPr>
              <w:pStyle w:val="4"/>
            </w:pPr>
          </w:p>
        </w:tc>
        <w:tc>
          <w:tcPr>
            <w:gridSpan w:val="3"/>
          </w:tcPr>
          <w:p>
            <w:pPr>
              <w:pStyle w:val="4"/>
            </w:pPr>
          </w:p>
        </w:tc>
        <w:tc>
          <w:tcPr>
            <w:gridSpan w:val="4"/>
          </w:tcPr>
          <w:p>
            <w:pPr>
              <w:pStyle w:val="4"/>
            </w:pPr>
          </w:p>
        </w:tc>
        <w:tc>
          <w:p>
            <w:pPr>
              <w:pStyle w:val="4"/>
            </w:pPr>
          </w:p>
        </w:tc>
      </w:tr>
      <w:tr>
        <w:tblPrEx>
          <w:tblCellMar>
            <w:top w:w="0" w:type="dxa"/>
            <w:left w:w="10" w:type="dxa"/>
            <w:bottom w:w="0" w:type="dxa"/>
            <w:right w:w="10" w:type="dxa"/>
          </w:tblCellMar>
        </w:tblPrEx>
        <w:trPr>
          <w:trHeight w:val="400" w:hRule="atLeast"/>
        </w:trPr>
        <w:tc>
          <w:p>
            <w:pPr>
              <w:pStyle w:val="4"/>
            </w:pPr>
          </w:p>
        </w:tc>
        <w:tc>
          <w:tcPr>
            <w:gridSpan w:val="2"/>
          </w:tcPr>
          <w:p>
            <w:pPr>
              <w:pStyle w:val="4"/>
            </w:pPr>
          </w:p>
        </w:tc>
        <w:tc>
          <w:tcPr>
            <w:gridSpan w:val="2"/>
          </w:tcPr>
          <w:p>
            <w:pPr>
              <w:pStyle w:val="4"/>
            </w:pPr>
          </w:p>
        </w:tc>
        <w:tc>
          <w:tcPr>
            <w:gridSpan w:val="2"/>
          </w:tcPr>
          <w:p>
            <w:pPr>
              <w:pStyle w:val="4"/>
            </w:pPr>
          </w:p>
        </w:tc>
        <w:tc>
          <w:tcPr>
            <w:gridSpan w:val="3"/>
            <w:tcMar>
              <w:top w:w="0" w:type="dxa"/>
              <w:left w:w="0" w:type="dxa"/>
              <w:bottom w:w="0" w:type="dxa"/>
              <w:right w:w="0" w:type="dxa"/>
            </w:tcMar>
            <w:vAlign w:val="top"/>
          </w:tcPr>
          <w:p>
            <w:pPr>
              <w:jc w:val="right"/>
            </w:pPr>
            <w:r>
              <w:rPr>
                <w:rFonts w:ascii="SansSerif" w:hAnsi="SansSerif" w:eastAsia="SansSerif" w:cs="SansSerif"/>
                <w:color w:val="000000"/>
                <w:sz w:val="18"/>
              </w:rPr>
              <w:t>8/</w:t>
            </w:r>
          </w:p>
        </w:tc>
        <w:tc>
          <w:tcPr>
            <w:gridSpan w:val="2"/>
            <w:tcMar>
              <w:top w:w="0" w:type="dxa"/>
              <w:left w:w="0" w:type="dxa"/>
              <w:bottom w:w="0" w:type="dxa"/>
              <w:right w:w="0" w:type="dxa"/>
            </w:tcMar>
            <w:vAlign w:val="top"/>
          </w:tcPr>
          <w:p>
            <w:pPr>
              <w:jc w:val="left"/>
            </w:pPr>
            <w:r>
              <w:rPr>
                <w:rFonts w:ascii="SansSerif" w:hAnsi="SansSerif" w:eastAsia="SansSerif" w:cs="SansSerif"/>
                <w:color w:val="000000"/>
                <w:sz w:val="18"/>
              </w:rPr>
              <w:t>8</w:t>
            </w:r>
          </w:p>
        </w:tc>
        <w:tc>
          <w:tcPr>
            <w:gridSpan w:val="3"/>
          </w:tcPr>
          <w:p>
            <w:pPr>
              <w:pStyle w:val="4"/>
            </w:pPr>
          </w:p>
        </w:tc>
        <w:tc>
          <w:tcPr>
            <w:gridSpan w:val="4"/>
          </w:tcPr>
          <w:p>
            <w:pPr>
              <w:pStyle w:val="4"/>
            </w:pPr>
          </w:p>
        </w:tc>
        <w:tc>
          <w:p>
            <w:pPr>
              <w:pStyle w:val="4"/>
            </w:pPr>
          </w:p>
        </w:tc>
      </w:tr>
    </w:tbl>
    <w:p/>
    <w:sectPr>
      <w:pgSz w:w="11900" w:h="16840"/>
      <w:pgMar w:top="600" w:right="560" w:bottom="240" w:left="600" w:header="0" w:footer="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800"/>
  <w:compat>
    <w:useFELayout/>
    <w:splitPgBreakAndParaMark/>
    <w:compatSetting w:name="compatibilityMode" w:uri="http://schemas.microsoft.com/office/word" w:val="12"/>
  </w:compat>
  <w:rsids>
    <w:rsidRoot w:val="00000000"/>
    <w:rsid w:val="4DA31BE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sz w:val="21"/>
      <w:szCs w:val="22"/>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EMPTY_CELL_STYLE"/>
    <w:qFormat/>
    <w:uiPriority w:val="0"/>
    <w:pPr>
      <w:spacing w:line="240" w:lineRule="auto"/>
    </w:pPr>
    <w:rPr>
      <w:rFonts w:ascii="SansSerif" w:hAnsi="SansSerif" w:eastAsia="SansSerif" w:cs="SansSerif"/>
      <w:color w:val="000000"/>
      <w:sz w:val="1"/>
      <w:szCs w:val="22"/>
    </w:rPr>
  </w:style>
  <w:style w:type="paragraph" w:customStyle="1" w:styleId="5">
    <w:name w:val="Table_TH"/>
    <w:qFormat/>
    <w:uiPriority w:val="0"/>
    <w:pPr>
      <w:spacing w:line="240" w:lineRule="auto"/>
    </w:pPr>
    <w:rPr>
      <w:rFonts w:ascii="SansSerif" w:hAnsi="SansSerif" w:eastAsia="SansSerif" w:cs="SansSerif"/>
      <w:color w:val="000000"/>
      <w:sz w:val="20"/>
      <w:szCs w:val="22"/>
    </w:rPr>
  </w:style>
  <w:style w:type="paragraph" w:customStyle="1" w:styleId="6">
    <w:name w:val="Table_CH"/>
    <w:qFormat/>
    <w:uiPriority w:val="0"/>
    <w:pPr>
      <w:spacing w:line="240" w:lineRule="auto"/>
    </w:pPr>
    <w:rPr>
      <w:rFonts w:ascii="SansSerif" w:hAnsi="SansSerif" w:eastAsia="SansSerif" w:cs="SansSerif"/>
      <w:color w:val="000000"/>
      <w:sz w:val="20"/>
      <w:szCs w:val="22"/>
    </w:rPr>
  </w:style>
  <w:style w:type="paragraph" w:customStyle="1" w:styleId="7">
    <w:name w:val="Table_TD"/>
    <w:qFormat/>
    <w:uiPriority w:val="0"/>
    <w:pPr>
      <w:spacing w:line="240" w:lineRule="auto"/>
    </w:pPr>
    <w:rPr>
      <w:rFonts w:ascii="SansSerif" w:hAnsi="SansSerif" w:eastAsia="SansSerif" w:cs="SansSerif"/>
      <w:color w:val="000000"/>
      <w:sz w:val="20"/>
      <w:szCs w:val="22"/>
    </w:rPr>
  </w:style>
  <w:style w:type="paragraph" w:customStyle="1" w:styleId="8">
    <w:name w:val="Table 1_TH"/>
    <w:qFormat/>
    <w:uiPriority w:val="0"/>
    <w:pPr>
      <w:spacing w:line="240" w:lineRule="auto"/>
    </w:pPr>
    <w:rPr>
      <w:rFonts w:ascii="SansSerif" w:hAnsi="SansSerif" w:eastAsia="SansSerif" w:cs="SansSerif"/>
      <w:color w:val="000000"/>
      <w:sz w:val="20"/>
      <w:szCs w:val="22"/>
    </w:rPr>
  </w:style>
  <w:style w:type="paragraph" w:customStyle="1" w:styleId="9">
    <w:name w:val="Table 1_CH"/>
    <w:qFormat/>
    <w:uiPriority w:val="0"/>
    <w:pPr>
      <w:spacing w:line="240" w:lineRule="auto"/>
    </w:pPr>
    <w:rPr>
      <w:rFonts w:ascii="SansSerif" w:hAnsi="SansSerif" w:eastAsia="SansSerif" w:cs="SansSerif"/>
      <w:color w:val="000000"/>
      <w:sz w:val="20"/>
      <w:szCs w:val="22"/>
    </w:rPr>
  </w:style>
  <w:style w:type="paragraph" w:customStyle="1" w:styleId="10">
    <w:name w:val="Table 1_TD"/>
    <w:qFormat/>
    <w:uiPriority w:val="0"/>
    <w:pPr>
      <w:spacing w:line="240" w:lineRule="auto"/>
    </w:pPr>
    <w:rPr>
      <w:rFonts w:ascii="SansSerif" w:hAnsi="SansSerif" w:eastAsia="SansSerif" w:cs="SansSerif"/>
      <w:color w:val="000000"/>
      <w:sz w:val="20"/>
      <w:szCs w:val="22"/>
    </w:rPr>
  </w:style>
  <w:style w:type="paragraph" w:customStyle="1" w:styleId="11">
    <w:name w:val="Table_CD"/>
    <w:qFormat/>
    <w:uiPriority w:val="0"/>
    <w:pPr>
      <w:spacing w:line="240" w:lineRule="auto"/>
    </w:pPr>
    <w:rPr>
      <w:rFonts w:ascii="SansSerif" w:hAnsi="SansSerif" w:eastAsia="SansSerif" w:cs="SansSerif"/>
      <w:color w:val="000000"/>
      <w:sz w:val="20"/>
      <w:szCs w:val="22"/>
    </w:rPr>
  </w:style>
  <w:style w:type="paragraph" w:customStyle="1" w:styleId="12">
    <w:name w:val="Table 2_TH"/>
    <w:qFormat/>
    <w:uiPriority w:val="0"/>
    <w:pPr>
      <w:spacing w:line="240" w:lineRule="auto"/>
    </w:pPr>
    <w:rPr>
      <w:rFonts w:ascii="SansSerif" w:hAnsi="SansSerif" w:eastAsia="SansSerif" w:cs="SansSerif"/>
      <w:color w:val="000000"/>
      <w:sz w:val="20"/>
      <w:szCs w:val="22"/>
    </w:rPr>
  </w:style>
  <w:style w:type="paragraph" w:customStyle="1" w:styleId="13">
    <w:name w:val="Table 2_CH"/>
    <w:qFormat/>
    <w:uiPriority w:val="0"/>
    <w:pPr>
      <w:spacing w:line="240" w:lineRule="auto"/>
    </w:pPr>
    <w:rPr>
      <w:rFonts w:ascii="SansSerif" w:hAnsi="SansSerif" w:eastAsia="SansSerif" w:cs="SansSerif"/>
      <w:color w:val="000000"/>
      <w:sz w:val="20"/>
      <w:szCs w:val="22"/>
    </w:rPr>
  </w:style>
  <w:style w:type="paragraph" w:customStyle="1" w:styleId="14">
    <w:name w:val="Table 2_TD"/>
    <w:qFormat/>
    <w:uiPriority w:val="0"/>
    <w:pPr>
      <w:spacing w:line="240" w:lineRule="auto"/>
    </w:pPr>
    <w:rPr>
      <w:rFonts w:ascii="SansSerif" w:hAnsi="SansSerif" w:eastAsia="SansSerif" w:cs="SansSerif"/>
      <w:color w:val="000000"/>
      <w:sz w:val="20"/>
      <w:szCs w:val="22"/>
    </w:rPr>
  </w:style>
  <w:style w:type="paragraph" w:customStyle="1" w:styleId="15">
    <w:name w:val="Table 3_TH"/>
    <w:qFormat/>
    <w:uiPriority w:val="0"/>
    <w:pPr>
      <w:spacing w:line="240" w:lineRule="auto"/>
    </w:pPr>
    <w:rPr>
      <w:rFonts w:ascii="SansSerif" w:hAnsi="SansSerif" w:eastAsia="SansSerif" w:cs="SansSerif"/>
      <w:color w:val="000000"/>
      <w:sz w:val="20"/>
      <w:szCs w:val="22"/>
    </w:rPr>
  </w:style>
  <w:style w:type="paragraph" w:customStyle="1" w:styleId="16">
    <w:name w:val="Table 3_CH"/>
    <w:qFormat/>
    <w:uiPriority w:val="0"/>
    <w:pPr>
      <w:spacing w:line="240" w:lineRule="auto"/>
    </w:pPr>
    <w:rPr>
      <w:rFonts w:ascii="SansSerif" w:hAnsi="SansSerif" w:eastAsia="SansSerif" w:cs="SansSerif"/>
      <w:color w:val="000000"/>
      <w:sz w:val="20"/>
      <w:szCs w:val="22"/>
    </w:rPr>
  </w:style>
  <w:style w:type="paragraph" w:customStyle="1" w:styleId="17">
    <w:name w:val="Table 3_TD"/>
    <w:qFormat/>
    <w:uiPriority w:val="0"/>
    <w:pPr>
      <w:spacing w:line="240" w:lineRule="auto"/>
    </w:pPr>
    <w:rPr>
      <w:rFonts w:ascii="SansSerif" w:hAnsi="SansSerif" w:eastAsia="SansSerif" w:cs="SansSerif"/>
      <w:color w:val="000000"/>
      <w:sz w:val="20"/>
      <w:szCs w:val="22"/>
    </w:rPr>
  </w:style>
  <w:style w:type="paragraph" w:customStyle="1" w:styleId="18">
    <w:name w:val="Table 4_TH"/>
    <w:qFormat/>
    <w:uiPriority w:val="0"/>
    <w:pPr>
      <w:spacing w:line="240" w:lineRule="auto"/>
    </w:pPr>
    <w:rPr>
      <w:rFonts w:ascii="SansSerif" w:hAnsi="SansSerif" w:eastAsia="SansSerif" w:cs="SansSerif"/>
      <w:color w:val="000000"/>
      <w:sz w:val="20"/>
      <w:szCs w:val="22"/>
    </w:rPr>
  </w:style>
  <w:style w:type="paragraph" w:customStyle="1" w:styleId="19">
    <w:name w:val="Table 4_CH"/>
    <w:qFormat/>
    <w:uiPriority w:val="0"/>
    <w:pPr>
      <w:spacing w:line="240" w:lineRule="auto"/>
    </w:pPr>
    <w:rPr>
      <w:rFonts w:ascii="SansSerif" w:hAnsi="SansSerif" w:eastAsia="SansSerif" w:cs="SansSerif"/>
      <w:color w:val="000000"/>
      <w:sz w:val="20"/>
      <w:szCs w:val="22"/>
    </w:rPr>
  </w:style>
  <w:style w:type="paragraph" w:customStyle="1" w:styleId="20">
    <w:name w:val="Table 4_TD"/>
    <w:qFormat/>
    <w:uiPriority w:val="0"/>
    <w:pPr>
      <w:spacing w:line="240" w:lineRule="auto"/>
    </w:pPr>
    <w:rPr>
      <w:rFonts w:ascii="SansSerif" w:hAnsi="SansSerif" w:eastAsia="SansSerif" w:cs="SansSerif"/>
      <w:color w:val="000000"/>
      <w:sz w:val="20"/>
      <w:szCs w:val="22"/>
    </w:rPr>
  </w:style>
  <w:style w:type="paragraph" w:customStyle="1" w:styleId="21">
    <w:name w:val="Table 5_TH"/>
    <w:qFormat/>
    <w:uiPriority w:val="0"/>
    <w:pPr>
      <w:spacing w:line="240" w:lineRule="auto"/>
    </w:pPr>
    <w:rPr>
      <w:rFonts w:ascii="SansSerif" w:hAnsi="SansSerif" w:eastAsia="SansSerif" w:cs="SansSerif"/>
      <w:color w:val="000000"/>
      <w:sz w:val="20"/>
      <w:szCs w:val="22"/>
    </w:rPr>
  </w:style>
  <w:style w:type="paragraph" w:customStyle="1" w:styleId="22">
    <w:name w:val="Table 5_CH"/>
    <w:qFormat/>
    <w:uiPriority w:val="0"/>
    <w:pPr>
      <w:spacing w:line="240" w:lineRule="auto"/>
    </w:pPr>
    <w:rPr>
      <w:rFonts w:ascii="SansSerif" w:hAnsi="SansSerif" w:eastAsia="SansSerif" w:cs="SansSerif"/>
      <w:color w:val="000000"/>
      <w:sz w:val="20"/>
      <w:szCs w:val="22"/>
    </w:rPr>
  </w:style>
  <w:style w:type="paragraph" w:customStyle="1" w:styleId="23">
    <w:name w:val="Table 5_TD"/>
    <w:qFormat/>
    <w:uiPriority w:val="0"/>
    <w:pPr>
      <w:spacing w:line="240" w:lineRule="auto"/>
    </w:pPr>
    <w:rPr>
      <w:rFonts w:ascii="SansSerif" w:hAnsi="SansSerif" w:eastAsia="SansSerif" w:cs="SansSerif"/>
      <w:color w:val="000000"/>
      <w:sz w:val="20"/>
      <w:szCs w:val="22"/>
    </w:rPr>
  </w:style>
  <w:style w:type="paragraph" w:customStyle="1" w:styleId="24">
    <w:name w:val="Table 6_TH"/>
    <w:qFormat/>
    <w:uiPriority w:val="0"/>
    <w:pPr>
      <w:spacing w:line="240" w:lineRule="auto"/>
    </w:pPr>
    <w:rPr>
      <w:rFonts w:ascii="SansSerif" w:hAnsi="SansSerif" w:eastAsia="SansSerif" w:cs="SansSerif"/>
      <w:color w:val="000000"/>
      <w:sz w:val="20"/>
      <w:szCs w:val="22"/>
    </w:rPr>
  </w:style>
  <w:style w:type="paragraph" w:customStyle="1" w:styleId="25">
    <w:name w:val="Table 6_CH"/>
    <w:qFormat/>
    <w:uiPriority w:val="0"/>
    <w:pPr>
      <w:spacing w:line="240" w:lineRule="auto"/>
    </w:pPr>
    <w:rPr>
      <w:rFonts w:ascii="SansSerif" w:hAnsi="SansSerif" w:eastAsia="SansSerif" w:cs="SansSerif"/>
      <w:color w:val="000000"/>
      <w:sz w:val="20"/>
      <w:szCs w:val="22"/>
    </w:rPr>
  </w:style>
  <w:style w:type="paragraph" w:customStyle="1" w:styleId="26">
    <w:name w:val="Table 6_TD"/>
    <w:qFormat/>
    <w:uiPriority w:val="0"/>
    <w:pPr>
      <w:spacing w:line="240" w:lineRule="auto"/>
    </w:pPr>
    <w:rPr>
      <w:rFonts w:ascii="SansSerif" w:hAnsi="SansSerif" w:eastAsia="SansSerif" w:cs="SansSerif"/>
      <w:color w:val="000000"/>
      <w:sz w:val="20"/>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TotalTime>
  <ScaleCrop>false</ScaleCrop>
  <LinksUpToDate>false</LinksUpToDate>
  <Application>WPS Office_11.8.2.10164_F1E327BC-269C-435d-A152-05C5408002CA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2024-07-18T05:43:10Z</dcterms:created>
  <dc:creator>wot_wanglinbo_zy</dc:creator>
  <cp:lastModifiedBy>wot_wanglinbo_zy</cp:lastModifiedBy>
  <dcterms:modified xsi:type="dcterms:W3CDTF">2024-07-18T05:45:30Z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2052-11.8.2.10164</vt:lpwstr>
  </property>
</Properties>
</file>