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天天万利宝稳利2号净值型理财产品E款2024年第二季度报告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天天万利宝稳利2号净值型理财产品E款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天天万利宝稳利2号净值型理财产品E款2024年第二季度报告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天天万利宝稳利2号净值型理财产品E款2024年第二季度报告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天天万利宝稳利2号净值型理财产品E款</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9K218032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Z7002020000022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7,313,869,391.36份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jc w:val="center"/>
                        </w:pPr>
                      </w:p>
                    </w:tc>
                  </w:tr>
                </w:tbl>
                <w:p>
                  <w:pPr>
                    <w:pStyle w:val="4"/>
                    <w:jc w:val="center"/>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稳利恒盈E 6个月</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9K218032（适用【A】份额）</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7,313,647,339.74</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稳利恒盈E 6个月B</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9K218132</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222,051.62</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天天万利宝稳利2号净值型理财产品E款2024年第二季度报告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9K218032（适用【A】份额）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9K218132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2.74</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业绩比较基准（9K218032（适用【A】份额））：2.25%--3.85%</w:t>
            </w:r>
            <w:r>
              <w:rPr>
                <w:rFonts w:ascii="宋体" w:hAnsi="宋体" w:eastAsia="宋体" w:cs="宋体"/>
                <w:color w:val="000000"/>
                <w:sz w:val="21"/>
              </w:rPr>
              <w:br w:type="textWrapping"/>
            </w:r>
            <w:r>
              <w:rPr>
                <w:rFonts w:ascii="宋体" w:hAnsi="宋体" w:eastAsia="宋体" w:cs="宋体"/>
                <w:color w:val="000000"/>
                <w:sz w:val="21"/>
              </w:rPr>
              <w:t>业绩比较基准（9K218132）：2.15%--3.75%</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（2）天天万利宝稳利2号净值型理财产品E款成立于2018年09月30日，数据截止至2024年06月30日。过往业绩是由兴银理财有限责任公司计算并确认后所提供的数据。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9K218032</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1.00806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1.20734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7,372,835,257.15</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9K218032（适用【A】份额）</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1.00806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1.20734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7,372,611,487.83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9K218132</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1.00774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1.00774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223,769.32</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彭岩女士，上海交通大学管理科学硕士，3年以上债券投资交易经验。2019年加入兴业银行资产管理事业部，现任兴银理财固定收益投资经理，主要负责债券投资和固收组合管理工作。专注自上而下的大类资产配置，投资风格稳健，交易能力较强。</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天天万利宝稳利2号净值型理财产品E款2024年第二季度报告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天天万利宝稳利2号净值型理财产品E款2024年第二季度报告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jc w:val="center"/>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16.16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27.88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金融衍生品</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18.31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36.56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39.22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0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昆仑金租同业借款20240510001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700,435,718.84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9.50</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徽商银行宁波分行大额存单02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533,756,803.26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7.24</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中原银行郑州分行大额存单2023032002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521,193,760.13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国银金租同业借款20240411002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502,999,876.89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6.82</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天天万利宝稳利2号净值型理财产品E款2024年第二季度报告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昆仑金租同业借款20240617001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500,305,555.60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6.79</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20民生银行二级</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362,913,120.70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4.92</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民生金租同业借款20240426003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300,235,781.84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4.07</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Z存放同业20240315003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201,643,164.06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2.73</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工银金租同业借款20240625001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200,073,333.32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2.71</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19农业银行永续债01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166,600,757.16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2.26</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昆仑金租同业借款20240617001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昆仑金融租赁有限责任公司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国银金租同业借款20240411002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国银金融租赁股份有限公司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民生金租同业借款20240426003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昆仑金租同业借款20240510001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昆仑金融租赁有限责任公司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工银金租同业借款20240625001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工银金融租赁有限公司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4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20南平土发小微债</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23海尔金控MTN002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19中信银行永续债</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红塔证券股份有限公司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24浙商银行小微债01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23美的置业MTN003(绿色)</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22华发实业MTN002B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天天万利宝稳利2号净值型理财产品E款2024年第二季度报告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天天万利宝稳利2号净值型理财产品E款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121.3353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兴瀚资管-兴添翼51号集合资产管理计划</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3.6212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上海兴瀚资产管理有限公司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20成都开投PPN002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授信</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中证信用增进股份有限公司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天天万利宝稳利2号净值型理财产品E款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50.7097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天天万利宝稳利2号净值型理财产品E款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0.3018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兴业短债债券型证券投资基金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1.8075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bookmarkStart w:id="8" w:name="_GoBack" w:colFirst="0" w:colLast="3"/>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051010100100688148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兴业银行理财托管专户天天万利宝稳利2号净值型理财产品E款</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4725"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06FE7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2024-07-17T13:04:24Z</dcterms:created>
  <dc:creator>liuke1</dc:creator>
  <cp:lastModifiedBy>liuke1</cp:lastModifiedBy>
  <dcterms:modified xsi:type="dcterms:W3CDTF">2024-07-17T13:05:44Z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