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wAfter w:w="40" w:type="dxa"/>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天天万利宝稳利2号净值型理财产品F款2024年第二季度报告</w:t>
            </w:r>
          </w:p>
        </w:tc>
        <w:tc>
          <w:p>
            <w:pPr>
              <w:pStyle w:val="4"/>
            </w:pPr>
          </w:p>
        </w:tc>
      </w:tr>
      <w:tr>
        <w:trPr>
          <w:gridAfter w:val="4"/>
          <w:wAfter w:w="40" w:type="dxa"/>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天天万利宝稳利2号净值型理财产品F款</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wAfter w:w="40" w:type="dxa"/>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9</w:t>
            </w:r>
          </w:p>
        </w:tc>
        <w:tc>
          <w:p>
            <w:pPr>
              <w:pStyle w:val="4"/>
            </w:pPr>
          </w:p>
        </w:tc>
        <w:tc>
          <w:tcPr>
            <w:gridSpan w:val="2"/>
          </w:tcPr>
          <w:p>
            <w:pPr>
              <w:pStyle w:val="4"/>
            </w:pPr>
          </w:p>
        </w:tc>
        <w:tc>
          <w:p>
            <w:pPr>
              <w:pStyle w:val="4"/>
            </w:pPr>
          </w:p>
        </w:tc>
      </w:tr>
      <w:tr>
        <w:trPr>
          <w:gridAfter w:val="4"/>
          <w:wAfter w:w="40" w:type="dxa"/>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天天万利宝稳利2号净值型理财产品F款2024年第二季度报告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rPr>
          <w:gridAfter w:val="4"/>
          <w:wAfter w:w="40" w:type="dxa"/>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rPr>
          <w:gridAfter w:val="4"/>
          <w:wAfter w:w="40" w:type="dxa"/>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9</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天天万利宝稳利2号净值型理财产品F款2024年第二季度报告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天天万利宝稳利2号净值型理财产品F款</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9K218033</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Z7002020000023</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8,174,774,480.16份</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18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jc w:val="center"/>
                        </w:pPr>
                      </w:p>
                    </w:tc>
                  </w:tr>
                </w:tbl>
                <w:p>
                  <w:pPr>
                    <w:pStyle w:val="4"/>
                    <w:jc w:val="center"/>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jc w:val="center"/>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稳利恒盈F 6个月</w:t>
                        </w:r>
                      </w:p>
                    </w:tc>
                  </w:tr>
                </w:tbl>
                <w:p>
                  <w:pPr>
                    <w:pStyle w:val="4"/>
                    <w:jc w:val="center"/>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9K218033（适用【A】份额）</w:t>
                        </w:r>
                      </w:p>
                    </w:tc>
                  </w:tr>
                </w:tbl>
                <w:p>
                  <w:pPr>
                    <w:pStyle w:val="4"/>
                    <w:jc w:val="center"/>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8,174,388,872.41</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稳利恒盈F 6个月B</w:t>
                        </w:r>
                      </w:p>
                    </w:tc>
                  </w:tr>
                </w:tbl>
                <w:p>
                  <w:pPr>
                    <w:pStyle w:val="4"/>
                    <w:jc w:val="center"/>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9K218133</w:t>
                        </w:r>
                      </w:p>
                    </w:tc>
                  </w:tr>
                </w:tbl>
                <w:p>
                  <w:pPr>
                    <w:pStyle w:val="4"/>
                    <w:jc w:val="center"/>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385,607.75</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p>
            <w:pPr>
              <w:pStyle w:val="4"/>
            </w:pPr>
          </w:p>
        </w:tc>
      </w:tr>
      <w:tr>
        <w:tblPrEx>
          <w:tblCellMar>
            <w:top w:w="0" w:type="dxa"/>
            <w:left w:w="10" w:type="dxa"/>
            <w:bottom w:w="0" w:type="dxa"/>
            <w:right w:w="10" w:type="dxa"/>
          </w:tblCellMar>
        </w:tblPrEx>
        <w:trPr>
          <w:gridAfter w:val="2"/>
          <w:wAfter w:w="20" w:type="dxa"/>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9</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天天万利宝稳利2号净值型理财产品F款2024年第二季度报告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9K218033（适用【A】份额）</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4.40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3.65</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9K218133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2.99</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业绩比较基准（9K218033（适用【A】份额））：2.20%--3.80%</w:t>
            </w:r>
            <w:r>
              <w:rPr>
                <w:rFonts w:ascii="宋体" w:hAnsi="宋体" w:eastAsia="宋体" w:cs="宋体"/>
                <w:color w:val="000000"/>
                <w:sz w:val="21"/>
              </w:rPr>
              <w:br w:type="textWrapping"/>
            </w:r>
            <w:r>
              <w:rPr>
                <w:rFonts w:ascii="宋体" w:hAnsi="宋体" w:eastAsia="宋体" w:cs="宋体"/>
                <w:color w:val="000000"/>
                <w:sz w:val="21"/>
              </w:rPr>
              <w:t>业绩比较基准（9K218133）：2.10%--3.70%</w:t>
            </w: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2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（2）天天万利宝稳利2号净值型理财产品F款成立于2018年10月16日，数据截止至2024年06月30日。过往业绩是由兴银理财有限责任公司计算并确认后所提供的数据。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9K218033</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1.00651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1.20683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8,227,965,743.89</w:t>
                        </w:r>
                      </w:p>
                    </w:tc>
                  </w:tr>
                </w:tbl>
                <w:p>
                  <w:pPr>
                    <w:pStyle w:val="4"/>
                    <w:jc w:val="center"/>
                  </w:pPr>
                </w:p>
              </w:tc>
            </w:tr>
          </w:tbl>
          <w:p>
            <w:pPr>
              <w:pStyle w:val="4"/>
              <w:jc w:val="center"/>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9K218033（适用【A】份额）</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1.00651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1.20683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8,227,577,566.95</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9K218133</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1.00666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1.02252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388,176.94</w:t>
                        </w:r>
                      </w:p>
                    </w:tc>
                  </w:tr>
                </w:tbl>
                <w:p>
                  <w:pPr>
                    <w:pStyle w:val="4"/>
                    <w:jc w:val="center"/>
                  </w:pPr>
                </w:p>
              </w:tc>
            </w:tr>
          </w:tbl>
          <w:p>
            <w:pPr>
              <w:pStyle w:val="4"/>
              <w:jc w:val="center"/>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李琪刚先生，上海大学工学硕士，曾任交银理财有限责任公司资深投资经理，2023年加入兴银理财，现任兴银理财固定收益部投资经理，具有丰富银行理财产品投资管理经历，善于通过研判市场走势开展资产配置和交易，追求产品绝对收益回报。</w:t>
            </w:r>
          </w:p>
        </w:tc>
        <w:tc>
          <w:tcPr>
            <w:gridSpan w:val="4"/>
          </w:tcPr>
          <w:p>
            <w:pPr>
              <w:pStyle w:val="4"/>
            </w:pPr>
          </w:p>
        </w:tc>
        <w:tc>
          <w:p>
            <w:pPr>
              <w:pStyle w:val="4"/>
            </w:pPr>
          </w:p>
        </w:tc>
      </w:tr>
      <w:tr>
        <w:tblPrEx>
          <w:tblCellMar>
            <w:top w:w="0" w:type="dxa"/>
            <w:left w:w="10" w:type="dxa"/>
            <w:bottom w:w="0" w:type="dxa"/>
            <w:right w:w="10" w:type="dxa"/>
          </w:tblCellMar>
        </w:tblPrEx>
        <w:trPr>
          <w:trHeight w:val="11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9</w:t>
            </w:r>
          </w:p>
        </w:tc>
        <w:tc>
          <w:tcPr>
            <w:gridSpan w:val="3"/>
          </w:tcPr>
          <w:p>
            <w:pPr>
              <w:pStyle w:val="4"/>
            </w:pPr>
          </w:p>
        </w:tc>
        <w:tc>
          <w:tcPr>
            <w:gridSpan w:val="4"/>
          </w:tcPr>
          <w:p>
            <w:pPr>
              <w:pStyle w:val="4"/>
            </w:pPr>
          </w:p>
        </w:tc>
        <w:tc>
          <w:p>
            <w:pPr>
              <w:pStyle w:val="4"/>
            </w:pPr>
          </w:p>
        </w:tc>
      </w:tr>
      <w:tr>
        <w:trPr>
          <w:gridAfter w:val="2"/>
          <w:wAfter w:w="20" w:type="dxa"/>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天天万利宝稳利2号净值型理财产品F款2024年第二季度报告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86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r>
              <w:rPr>
                <w:rFonts w:ascii="宋体" w:hAnsi="宋体" w:eastAsia="宋体" w:cs="宋体"/>
                <w:color w:val="000000"/>
                <w:sz w:val="21"/>
              </w:rPr>
              <w:t>　  债市预计维持区间震荡，重点关注交易性机会。基本面来看，经济仍处于弱修复状态，新旧动能切换的过程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wAfter w:w="20" w:type="dxa"/>
          <w:trHeight w:val="34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9</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天天万利宝稳利2号净值型理财产品F款2024年第二季度报告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jc w:val="center"/>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0.21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11.24</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0.28</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非标准化债权类资产</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42.55</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42.55</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4.09</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4.42</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1.18</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1.52</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12.58</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39.39</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39.99</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jc w:val="center"/>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w:t>
            </w:r>
            <w:r>
              <w:rPr>
                <w:rFonts w:hint="eastAsia" w:ascii="宋体" w:hAnsi="宋体" w:eastAsia="宋体" w:cs="宋体"/>
                <w:color w:val="000000"/>
                <w:sz w:val="21"/>
                <w:lang w:val="en-US" w:eastAsia="zh-CN"/>
              </w:rPr>
              <w:t xml:space="preserve"> </w:t>
            </w:r>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36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国银金租同业借款20240418001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1,508,309,967.17</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18.33</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国银金租同业借款20240416001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1,005,614,971.76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12.22</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24CSFD88</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453,429,530.82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5.51</w:t>
                        </w:r>
                      </w:p>
                    </w:tc>
                  </w:tr>
                </w:tbl>
                <w:p>
                  <w:pPr>
                    <w:pStyle w:val="4"/>
                    <w:jc w:val="center"/>
                  </w:pPr>
                </w:p>
              </w:tc>
            </w:tr>
            <w:tr>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工银金租同业借款20240625003</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320,117,333.36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3.89</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渝农商金租同业借款202404017001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300,197,486.25</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3.65</w:t>
                        </w:r>
                      </w:p>
                    </w:tc>
                  </w:tr>
                </w:tbl>
                <w:p>
                  <w:pPr>
                    <w:pStyle w:val="4"/>
                    <w:jc w:val="center"/>
                  </w:pPr>
                </w:p>
              </w:tc>
            </w:tr>
          </w:tbl>
          <w:p>
            <w:pPr>
              <w:pStyle w:val="4"/>
            </w:pPr>
          </w:p>
        </w:tc>
        <w:tc>
          <w:p>
            <w:pPr>
              <w:pStyle w:val="4"/>
            </w:pPr>
          </w:p>
        </w:tc>
      </w:tr>
      <w:tr>
        <w:trPr>
          <w:trHeight w:val="1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9</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天天万利宝稳利2号净值型理财产品F款2024年第二季度报告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20中国银行二级01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285,889,814.26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3.47</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21平安银行二级</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232,963,936.39</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2.83</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20平安银行永续债01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215,255,520.82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2.62</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华融金租同业借款20240418001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201,249,211.16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2.45</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20民生银行二级</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179,249,611.51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2.18</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4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2024蚂蚁消金（澄和2024-3）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重庆蚂蚁消费金融有限公司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信贷资产流转项目</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2024蚂蚁消金（致福2024-1）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重庆蚂蚁消费金融有限公司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信贷资产流转项目</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华融金租同业借款20240418001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华融金融租赁股份有限公司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工银金租同业借款20240625003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工银金融租赁有限公司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渝农商金租同业借款202404017001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渝农商金融租赁有限责任公司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国银金租同业借款20240418001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国银金融租赁股份有限公司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国银金租同业借款20240416001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国银金融租赁股份有限公司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60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9</w:t>
            </w:r>
          </w:p>
        </w:tc>
        <w:tc>
          <w:tcPr>
            <w:gridSpan w:val="3"/>
          </w:tcPr>
          <w:p>
            <w:pPr>
              <w:pStyle w:val="4"/>
            </w:pPr>
          </w:p>
        </w:tc>
        <w:tc>
          <w:tcPr>
            <w:gridSpan w:val="4"/>
          </w:tcPr>
          <w:p>
            <w:pPr>
              <w:pStyle w:val="4"/>
            </w:pPr>
          </w:p>
        </w:tc>
        <w:tc>
          <w:p>
            <w:pPr>
              <w:pStyle w:val="4"/>
            </w:pPr>
          </w:p>
        </w:tc>
      </w:tr>
      <w:tr>
        <w:trPr>
          <w:gridAfter w:val="4"/>
          <w:wAfter w:w="40" w:type="dxa"/>
          <w:trHeight w:val="0" w:hRule="atLeast"/>
        </w:trPr>
        <w:tc>
          <w:p>
            <w:pPr>
              <w:pStyle w:val="4"/>
              <w:pageBreakBefore/>
            </w:pPr>
            <w:bookmarkStart w:id="7" w:name="JR_PAGE_ANCHOR_0_8"/>
            <w:bookmarkEnd w:id="7"/>
          </w:p>
        </w:tc>
        <w:tc>
          <w:tcPr>
            <w:gridSpan w:val="4"/>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天天万利宝稳利2号净值型理财产品F款2024年第二季度报告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4"/>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4"/>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p>
            <w:pPr>
              <w:pStyle w:val="4"/>
            </w:pPr>
          </w:p>
        </w:tc>
      </w:tr>
      <w:tr>
        <w:tblPrEx>
          <w:tblCellMar>
            <w:top w:w="0" w:type="dxa"/>
            <w:left w:w="10" w:type="dxa"/>
            <w:bottom w:w="0" w:type="dxa"/>
            <w:right w:w="10" w:type="dxa"/>
          </w:tblCellMar>
        </w:tblPrEx>
        <w:trPr>
          <w:gridAfter w:val="4"/>
          <w:wAfter w:w="40" w:type="dxa"/>
          <w:trHeight w:val="78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22青岛海控PPN002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23光大环境MTN003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23天辰工程MTN001(科创票据)</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24中信银行永续债01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23黄石众邦MTN001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20工商银行二级01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23镇国投MTN005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24浦发银行债02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23雨花城投PPN001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23蓉城文化SCP003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23青岛财富MTN001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23兴湘投资MTN001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gridAfter w:val="4"/>
          <w:wAfter w:w="40" w:type="dxa"/>
          <w:trHeight w:val="200" w:hRule="exact"/>
        </w:trPr>
        <w:tc>
          <w:p>
            <w:pPr>
              <w:pStyle w:val="4"/>
            </w:pPr>
          </w:p>
        </w:tc>
        <w:tc>
          <w:tcPr>
            <w:gridSpan w:val="4"/>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4"/>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p>
            <w:pPr>
              <w:pStyle w:val="4"/>
            </w:pPr>
          </w:p>
        </w:tc>
      </w:tr>
      <w:tr>
        <w:tblPrEx>
          <w:tblCellMar>
            <w:top w:w="0" w:type="dxa"/>
            <w:left w:w="10" w:type="dxa"/>
            <w:bottom w:w="0" w:type="dxa"/>
            <w:right w:w="10" w:type="dxa"/>
          </w:tblCellMar>
        </w:tblPrEx>
        <w:trPr>
          <w:gridAfter w:val="4"/>
          <w:wAfter w:w="40" w:type="dxa"/>
          <w:trHeight w:val="24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天天万利宝稳利2号净值型理财产品F款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174.6993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天天万利宝稳利2号净值型理财产品F款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57.3100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天天万利宝稳利2号净值型理财产品F款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0.0506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九江银行股份有限公司</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gridAfter w:val="4"/>
          <w:wAfter w:w="40" w:type="dxa"/>
          <w:trHeight w:val="200" w:hRule="exact"/>
        </w:trPr>
        <w:tc>
          <w:p>
            <w:pPr>
              <w:pStyle w:val="4"/>
            </w:pPr>
          </w:p>
        </w:tc>
        <w:tc>
          <w:tcPr>
            <w:gridSpan w:val="4"/>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4"/>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p>
            <w:pPr>
              <w:pStyle w:val="4"/>
            </w:pPr>
          </w:p>
        </w:tc>
      </w:tr>
      <w:tr>
        <w:tblPrEx>
          <w:tblCellMar>
            <w:top w:w="0" w:type="dxa"/>
            <w:left w:w="10" w:type="dxa"/>
            <w:bottom w:w="0" w:type="dxa"/>
            <w:right w:w="10" w:type="dxa"/>
          </w:tblCellMar>
        </w:tblPrEx>
        <w:trPr>
          <w:gridAfter w:val="4"/>
          <w:wAfter w:w="40" w:type="dxa"/>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jc w:val="center"/>
                  </w:pPr>
                </w:p>
              </w:tc>
            </w:tr>
          </w:tbl>
          <w:p>
            <w:pPr>
              <w:pStyle w:val="4"/>
              <w:jc w:val="center"/>
            </w:pPr>
          </w:p>
        </w:tc>
        <w:tc>
          <w:p>
            <w:pPr>
              <w:pStyle w:val="4"/>
            </w:pPr>
          </w:p>
        </w:tc>
      </w:tr>
      <w:tr>
        <w:trPr>
          <w:gridAfter w:val="4"/>
          <w:wAfter w:w="40" w:type="dxa"/>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jc w:val="center"/>
                        </w:pPr>
                      </w:p>
                    </w:tc>
                  </w:tr>
                </w:tbl>
                <w:p>
                  <w:pPr>
                    <w:pStyle w:val="4"/>
                    <w:jc w:val="center"/>
                  </w:pPr>
                </w:p>
              </w:tc>
            </w:tr>
          </w:tbl>
          <w:p>
            <w:pPr>
              <w:pStyle w:val="4"/>
              <w:jc w:val="center"/>
            </w:pPr>
          </w:p>
        </w:tc>
        <w:tc>
          <w:p>
            <w:pPr>
              <w:pStyle w:val="4"/>
            </w:pPr>
          </w:p>
        </w:tc>
      </w:tr>
      <w:tr>
        <w:tblPrEx>
          <w:tblCellMar>
            <w:top w:w="0" w:type="dxa"/>
            <w:left w:w="10" w:type="dxa"/>
            <w:bottom w:w="0" w:type="dxa"/>
            <w:right w:w="10" w:type="dxa"/>
          </w:tblCellMar>
        </w:tblPrEx>
        <w:trPr>
          <w:gridAfter w:val="4"/>
          <w:wAfter w:w="40" w:type="dxa"/>
          <w:trHeight w:val="1200" w:hRule="exact"/>
        </w:trPr>
        <w:tc>
          <w:p>
            <w:pPr>
              <w:pStyle w:val="4"/>
            </w:pPr>
          </w:p>
        </w:tc>
        <w:tc>
          <w:tcPr>
            <w:gridSpan w:val="4"/>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4"/>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9</w:t>
            </w:r>
          </w:p>
        </w:tc>
        <w:tc>
          <w:tcPr>
            <w:gridSpan w:val="3"/>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8" w:name="JR_PAGE_ANCHOR_0_9"/>
            <w:bookmarkEnd w:id="8"/>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天天万利宝稳利2号净值型理财产品F款2024年第二季度报告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jc w:val="center"/>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051010100100688263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兴业银行理财托管专户天天万利宝稳利2号净值型理财产品F款</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10840" w:hRule="exact"/>
        </w:trPr>
        <w:tc>
          <w:p>
            <w:pPr>
              <w:pStyle w:val="4"/>
            </w:pPr>
          </w:p>
        </w:tc>
        <w:tc>
          <w:tcPr>
            <w:gridSpan w:val="2"/>
          </w:tcPr>
          <w:p>
            <w:pPr>
              <w:pStyle w:val="4"/>
            </w:pPr>
          </w:p>
        </w:tc>
        <w:tc>
          <w:tcPr>
            <w:gridSpan w:val="4"/>
          </w:tcPr>
          <w:p>
            <w:pPr>
              <w:pStyle w:val="4"/>
            </w:pPr>
          </w:p>
        </w:tc>
        <w:tc>
          <w:tcPr>
            <w:gridSpan w:val="3"/>
          </w:tcPr>
          <w:p>
            <w:pPr>
              <w:pStyle w:val="4"/>
            </w:pPr>
            <w:bookmarkStart w:id="9" w:name="_GoBack"/>
            <w:bookmarkEnd w:id="9"/>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9/</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9</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800"/>
  <w:compat>
    <w:useFELayout/>
    <w:splitPgBreakAndParaMark/>
    <w:compatSetting w:name="compatibilityMode" w:uri="http://schemas.microsoft.com/office/word" w:val="12"/>
  </w:compat>
  <w:rsids>
    <w:rsidRoot w:val="00000000"/>
    <w:rsid w:val="2CF206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2024-07-17T13:05:49Z</dcterms:created>
  <dc:creator>liuke1</dc:creator>
  <cp:lastModifiedBy>liuke1</cp:lastModifiedBy>
  <dcterms:modified xsi:type="dcterms:W3CDTF">2024-07-17T13:07:34Z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